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F300" w14:textId="77777777" w:rsidR="00CE4E97" w:rsidRPr="002F7E0E" w:rsidRDefault="00633083" w:rsidP="007835C0">
      <w:pPr>
        <w:jc w:val="center"/>
        <w:rPr>
          <w:lang w:val="fr-FR"/>
        </w:rPr>
      </w:pPr>
      <w:bookmarkStart w:id="0" w:name="chk-paragraph-1-1_nodeId--1664616522"/>
      <w:r w:rsidRPr="002F7E0E">
        <w:rPr>
          <w:b/>
          <w:color w:val="000000"/>
          <w:lang w:val="fr-FR"/>
        </w:rPr>
        <w:t>DÉCISION</w:t>
      </w:r>
    </w:p>
    <w:p w14:paraId="14C94C9A" w14:textId="77777777" w:rsidR="00CE4E97" w:rsidRPr="002F7E0E" w:rsidRDefault="00633083">
      <w:pPr>
        <w:jc w:val="center"/>
        <w:rPr>
          <w:lang w:val="fr-FR"/>
        </w:rPr>
      </w:pPr>
      <w:r w:rsidRPr="002F7E0E">
        <w:rPr>
          <w:b/>
          <w:color w:val="000000"/>
          <w:lang w:val="fr-FR"/>
        </w:rPr>
        <w:t>de la Première chambre de recours</w:t>
      </w:r>
    </w:p>
    <w:p w14:paraId="098C5E54" w14:textId="77777777" w:rsidR="00CE4E97" w:rsidRPr="002F7E0E" w:rsidRDefault="00633083">
      <w:pPr>
        <w:jc w:val="center"/>
        <w:rPr>
          <w:lang w:val="fr-FR"/>
        </w:rPr>
      </w:pPr>
      <w:r w:rsidRPr="002F7E0E">
        <w:rPr>
          <w:b/>
          <w:color w:val="000000"/>
          <w:lang w:val="fr-FR"/>
        </w:rPr>
        <w:t xml:space="preserve">du </w:t>
      </w:r>
      <w:r w:rsidR="007835C0">
        <w:rPr>
          <w:b/>
          <w:color w:val="000000"/>
          <w:lang w:val="fr-FR"/>
        </w:rPr>
        <w:t>12 juin 2025</w:t>
      </w:r>
    </w:p>
    <w:p w14:paraId="690B80B3" w14:textId="77777777" w:rsidR="00CE4E97" w:rsidRPr="007835C0" w:rsidRDefault="00633083">
      <w:pPr>
        <w:spacing w:before="360" w:after="360"/>
        <w:rPr>
          <w:lang w:val="fr-FR"/>
        </w:rPr>
      </w:pPr>
      <w:r w:rsidRPr="007835C0">
        <w:rPr>
          <w:color w:val="000000"/>
          <w:lang w:val="fr-FR"/>
        </w:rPr>
        <w:t>Dans l'affaire R 95/2025</w:t>
      </w:r>
      <w:r w:rsidR="009B5CFC" w:rsidRPr="007835C0">
        <w:rPr>
          <w:color w:val="000000"/>
          <w:lang w:val="fr-FR"/>
        </w:rPr>
        <w:noBreakHyphen/>
        <w:t>1</w:t>
      </w:r>
    </w:p>
    <w:tbl>
      <w:tblPr>
        <w:tblStyle w:val="Grilledetableauclair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730"/>
      </w:tblGrid>
      <w:tr w:rsidR="00CE4E97" w:rsidRPr="0021687B" w14:paraId="55563EEC" w14:textId="77777777" w:rsidTr="00662F6E">
        <w:trPr>
          <w:trHeight w:val="15"/>
        </w:trPr>
        <w:tc>
          <w:tcPr>
            <w:tcW w:w="0" w:type="auto"/>
            <w:gridSpan w:val="2"/>
          </w:tcPr>
          <w:p w14:paraId="7955381A" w14:textId="77777777" w:rsidR="00CE4E97" w:rsidRPr="002F7E0E" w:rsidRDefault="00633083">
            <w:pPr>
              <w:rPr>
                <w:lang w:val="fr-FR"/>
              </w:rPr>
            </w:pPr>
            <w:r w:rsidRPr="002F7E0E">
              <w:rPr>
                <w:b/>
                <w:color w:val="000000"/>
                <w:lang w:val="fr-FR"/>
              </w:rPr>
              <w:t>PIERRE BALMAIN, S.A.S.</w:t>
            </w:r>
          </w:p>
        </w:tc>
      </w:tr>
      <w:tr w:rsidR="00CE4E97" w:rsidRPr="002F7E0E" w14:paraId="0F176119" w14:textId="77777777" w:rsidTr="00662F6E">
        <w:trPr>
          <w:trHeight w:val="15"/>
        </w:trPr>
        <w:tc>
          <w:tcPr>
            <w:tcW w:w="5478" w:type="dxa"/>
          </w:tcPr>
          <w:p w14:paraId="68B8B8C7" w14:textId="77777777" w:rsidR="00CE4E97" w:rsidRPr="002F7E0E" w:rsidRDefault="00633083">
            <w:pPr>
              <w:rPr>
                <w:lang w:val="fr-FR"/>
              </w:rPr>
            </w:pPr>
            <w:r w:rsidRPr="002F7E0E">
              <w:rPr>
                <w:color w:val="000000"/>
                <w:lang w:val="fr-FR"/>
              </w:rPr>
              <w:t>44, rue François 1er</w:t>
            </w:r>
          </w:p>
          <w:p w14:paraId="11958A5B" w14:textId="77777777" w:rsidR="00CE4E97" w:rsidRPr="002F7E0E" w:rsidRDefault="00633083">
            <w:pPr>
              <w:rPr>
                <w:lang w:val="fr-FR"/>
              </w:rPr>
            </w:pPr>
            <w:r w:rsidRPr="002F7E0E">
              <w:rPr>
                <w:color w:val="000000"/>
                <w:lang w:val="fr-FR"/>
              </w:rPr>
              <w:t>75008 Paris</w:t>
            </w:r>
          </w:p>
          <w:p w14:paraId="30E9734A" w14:textId="77777777" w:rsidR="00CE4E97" w:rsidRPr="002F7E0E" w:rsidRDefault="00633083">
            <w:pPr>
              <w:rPr>
                <w:lang w:val="fr-FR"/>
              </w:rPr>
            </w:pPr>
            <w:r w:rsidRPr="002F7E0E">
              <w:rPr>
                <w:color w:val="000000"/>
                <w:lang w:val="fr-FR"/>
              </w:rPr>
              <w:t>France</w:t>
            </w:r>
          </w:p>
        </w:tc>
        <w:tc>
          <w:tcPr>
            <w:tcW w:w="5822" w:type="dxa"/>
          </w:tcPr>
          <w:p w14:paraId="06F8BA7F" w14:textId="77777777" w:rsidR="00CE4E97" w:rsidRPr="002F7E0E" w:rsidRDefault="00633083">
            <w:pPr>
              <w:ind w:left="108"/>
              <w:jc w:val="right"/>
              <w:rPr>
                <w:lang w:val="fr-FR"/>
              </w:rPr>
            </w:pPr>
            <w:r w:rsidRPr="002F7E0E">
              <w:rPr>
                <w:color w:val="000000"/>
                <w:lang w:val="fr-FR"/>
              </w:rPr>
              <w:t>Demanderesse / Demanderesse au recours</w:t>
            </w:r>
          </w:p>
        </w:tc>
      </w:tr>
    </w:tbl>
    <w:p w14:paraId="0EF4B016" w14:textId="77777777" w:rsidR="00CE4E97" w:rsidRPr="002F7E0E" w:rsidRDefault="00633083" w:rsidP="002F7E0E">
      <w:pPr>
        <w:pStyle w:val="1stNormal"/>
        <w:rPr>
          <w:lang w:val="fr-FR"/>
        </w:rPr>
      </w:pPr>
      <w:r w:rsidRPr="002F7E0E">
        <w:rPr>
          <w:lang w:val="fr-FR"/>
        </w:rPr>
        <w:t xml:space="preserve">représentée par </w:t>
      </w:r>
      <w:proofErr w:type="spellStart"/>
      <w:r w:rsidR="002F7E0E" w:rsidRPr="002F7E0E">
        <w:rPr>
          <w:lang w:val="fr-FR"/>
        </w:rPr>
        <w:t>Ingenias</w:t>
      </w:r>
      <w:proofErr w:type="spellEnd"/>
      <w:r w:rsidRPr="002F7E0E">
        <w:rPr>
          <w:lang w:val="fr-FR"/>
        </w:rPr>
        <w:t>,</w:t>
      </w:r>
      <w:r w:rsidR="002F7E0E" w:rsidRPr="002F7E0E">
        <w:rPr>
          <w:lang w:val="fr-FR"/>
        </w:rPr>
        <w:t xml:space="preserve"> </w:t>
      </w:r>
      <w:r w:rsidRPr="002F7E0E">
        <w:rPr>
          <w:lang w:val="fr-FR"/>
        </w:rPr>
        <w:t>Av. Diagonal, 514, 1</w:t>
      </w:r>
      <w:r w:rsidR="009B5CFC">
        <w:rPr>
          <w:lang w:val="fr-FR"/>
        </w:rPr>
        <w:noBreakHyphen/>
      </w:r>
      <w:r w:rsidR="009B5CFC" w:rsidRPr="002F7E0E">
        <w:rPr>
          <w:lang w:val="fr-FR"/>
        </w:rPr>
        <w:t>4</w:t>
      </w:r>
      <w:r w:rsidRPr="002F7E0E">
        <w:rPr>
          <w:lang w:val="fr-FR"/>
        </w:rPr>
        <w:t>, 08006 Barcelona,</w:t>
      </w:r>
      <w:r w:rsidR="002F7E0E">
        <w:rPr>
          <w:lang w:val="fr-FR"/>
        </w:rPr>
        <w:t xml:space="preserve"> </w:t>
      </w:r>
      <w:r w:rsidRPr="002F7E0E">
        <w:rPr>
          <w:lang w:val="fr-FR"/>
        </w:rPr>
        <w:t>Espagne</w:t>
      </w:r>
    </w:p>
    <w:p w14:paraId="5C13F1B7" w14:textId="77777777" w:rsidR="00CE4E97" w:rsidRPr="002F7E0E" w:rsidRDefault="00633083" w:rsidP="002F7E0E">
      <w:pPr>
        <w:pStyle w:val="1stRegistrarProcNumberbiggerSpacing"/>
        <w:rPr>
          <w:lang w:val="fr-FR"/>
        </w:rPr>
      </w:pPr>
      <w:r w:rsidRPr="002F7E0E">
        <w:rPr>
          <w:lang w:val="fr-FR"/>
        </w:rPr>
        <w:t xml:space="preserve">RECOURS concernant la demande de marque de l'Union européenne </w:t>
      </w:r>
      <w:r w:rsidR="00EC4B9E">
        <w:rPr>
          <w:lang w:val="fr-FR"/>
        </w:rPr>
        <w:t>n</w:t>
      </w:r>
      <w:r w:rsidRPr="002F7E0E">
        <w:rPr>
          <w:lang w:val="fr-FR"/>
        </w:rPr>
        <w:t>º</w:t>
      </w:r>
      <w:r w:rsidR="00E618B3">
        <w:rPr>
          <w:lang w:val="fr-FR"/>
        </w:rPr>
        <w:t> </w:t>
      </w:r>
      <w:r w:rsidRPr="002F7E0E">
        <w:rPr>
          <w:lang w:val="fr-FR"/>
        </w:rPr>
        <w:t>18 563 991</w:t>
      </w:r>
    </w:p>
    <w:p w14:paraId="042CDC64" w14:textId="77777777" w:rsidR="00CE4E97" w:rsidRPr="002F7E0E" w:rsidRDefault="00633083" w:rsidP="002F7E0E">
      <w:pPr>
        <w:pStyle w:val="1stCAPSCENTERED"/>
        <w:rPr>
          <w:lang w:val="fr-FR"/>
        </w:rPr>
      </w:pPr>
      <w:r w:rsidRPr="002F7E0E">
        <w:rPr>
          <w:lang w:val="fr-FR"/>
        </w:rPr>
        <w:t>LA</w:t>
      </w:r>
      <w:r w:rsidR="002F7E0E">
        <w:rPr>
          <w:lang w:val="fr-FR"/>
        </w:rPr>
        <w:t xml:space="preserve"> </w:t>
      </w:r>
      <w:r w:rsidRPr="002F7E0E">
        <w:rPr>
          <w:lang w:val="fr-FR"/>
        </w:rPr>
        <w:t>PREMIÈRE CHAMBRE DE RECOURS</w:t>
      </w:r>
    </w:p>
    <w:p w14:paraId="480F92D0" w14:textId="77777777" w:rsidR="00CE4E97" w:rsidRPr="002F7E0E" w:rsidRDefault="00633083" w:rsidP="002F7E0E">
      <w:pPr>
        <w:pStyle w:val="1stNormal"/>
        <w:rPr>
          <w:lang w:val="fr-FR"/>
        </w:rPr>
      </w:pPr>
      <w:r w:rsidRPr="002F7E0E">
        <w:rPr>
          <w:lang w:val="fr-FR"/>
        </w:rPr>
        <w:t>composée de G. Humphreys Bacon (Président), A. González Fernández (Rapporteur) et C. Bartos (Membre)</w:t>
      </w:r>
    </w:p>
    <w:p w14:paraId="18800F08" w14:textId="77777777" w:rsidR="00CE4E97" w:rsidRPr="002F7E0E" w:rsidRDefault="00633083">
      <w:pPr>
        <w:spacing w:before="360" w:after="360"/>
        <w:rPr>
          <w:lang w:val="fr-FR"/>
        </w:rPr>
      </w:pPr>
      <w:r w:rsidRPr="002F7E0E">
        <w:rPr>
          <w:color w:val="000000"/>
          <w:lang w:val="fr-FR"/>
        </w:rPr>
        <w:t xml:space="preserve">Greffier : H. </w:t>
      </w:r>
      <w:proofErr w:type="spellStart"/>
      <w:r w:rsidRPr="002F7E0E">
        <w:rPr>
          <w:color w:val="000000"/>
          <w:lang w:val="fr-FR"/>
        </w:rPr>
        <w:t>Dijkema</w:t>
      </w:r>
      <w:proofErr w:type="spellEnd"/>
    </w:p>
    <w:p w14:paraId="03CD54BE" w14:textId="77777777" w:rsidR="00CE4E97" w:rsidRPr="002F7E0E" w:rsidRDefault="00633083" w:rsidP="002F7E0E">
      <w:pPr>
        <w:pStyle w:val="1stNormal"/>
        <w:rPr>
          <w:lang w:val="fr-FR"/>
        </w:rPr>
      </w:pPr>
      <w:r w:rsidRPr="002F7E0E">
        <w:rPr>
          <w:lang w:val="fr-FR"/>
        </w:rPr>
        <w:t>rend la présente</w:t>
      </w:r>
    </w:p>
    <w:p w14:paraId="77389E4A" w14:textId="77777777" w:rsidR="00CE4E97" w:rsidRPr="00804AD9" w:rsidRDefault="00633083" w:rsidP="009635F0">
      <w:pPr>
        <w:pStyle w:val="2ndDecision"/>
        <w:rPr>
          <w:lang w:val="fr-FR"/>
        </w:rPr>
      </w:pPr>
      <w:r w:rsidRPr="00804AD9">
        <w:rPr>
          <w:lang w:val="fr-FR"/>
        </w:rPr>
        <w:lastRenderedPageBreak/>
        <w:t>Décision</w:t>
      </w:r>
    </w:p>
    <w:p w14:paraId="521D6F99" w14:textId="77777777" w:rsidR="00CE4E97" w:rsidRPr="00804AD9" w:rsidRDefault="00633083" w:rsidP="009635F0">
      <w:pPr>
        <w:pStyle w:val="Titre1"/>
        <w:rPr>
          <w:lang w:val="fr-FR"/>
        </w:rPr>
      </w:pPr>
      <w:r w:rsidRPr="00804AD9">
        <w:rPr>
          <w:lang w:val="fr-FR"/>
        </w:rPr>
        <w:t>Résumé des faits</w:t>
      </w:r>
    </w:p>
    <w:p w14:paraId="4E4F1E04" w14:textId="77777777" w:rsidR="00CE4E97" w:rsidRPr="002F7E0E" w:rsidRDefault="00633083" w:rsidP="009635F0">
      <w:pPr>
        <w:pStyle w:val="Numbered1"/>
        <w:rPr>
          <w:lang w:val="fr-FR"/>
        </w:rPr>
      </w:pPr>
      <w:r w:rsidRPr="001740D3">
        <w:rPr>
          <w:lang w:val="fr-FR"/>
        </w:rPr>
        <w:t>Par une demande qui s'est vu attribuer la date de dépôt du 22</w:t>
      </w:r>
      <w:r w:rsidR="003B5CF4" w:rsidRPr="001740D3">
        <w:rPr>
          <w:lang w:val="fr-FR"/>
        </w:rPr>
        <w:t> septembre </w:t>
      </w:r>
      <w:r w:rsidRPr="001740D3">
        <w:rPr>
          <w:lang w:val="fr-FR"/>
        </w:rPr>
        <w:t>2021, PIERRE BALMAIN, S.A.S. (ci-après « la</w:t>
      </w:r>
      <w:r w:rsidR="003B5CF4" w:rsidRPr="001740D3">
        <w:rPr>
          <w:lang w:val="fr-FR"/>
        </w:rPr>
        <w:t xml:space="preserve"> </w:t>
      </w:r>
      <w:r w:rsidR="001740D3" w:rsidRPr="001740D3">
        <w:rPr>
          <w:lang w:val="fr-FR"/>
        </w:rPr>
        <w:t>demanderesse</w:t>
      </w:r>
      <w:r w:rsidRPr="002F7E0E">
        <w:rPr>
          <w:lang w:val="fr-FR"/>
        </w:rPr>
        <w:t xml:space="preserve"> »</w:t>
      </w:r>
      <w:r w:rsidRPr="003B5CF4">
        <w:rPr>
          <w:lang w:val="fr-FR"/>
        </w:rPr>
        <w:t xml:space="preserve">), </w:t>
      </w:r>
      <w:r w:rsidR="003B5CF4" w:rsidRPr="003B5CF4">
        <w:rPr>
          <w:lang w:val="fr-FR"/>
        </w:rPr>
        <w:t>revendiquant l</w:t>
      </w:r>
      <w:r w:rsidRPr="003B5CF4">
        <w:rPr>
          <w:lang w:val="fr-FR"/>
        </w:rPr>
        <w:t>'</w:t>
      </w:r>
      <w:r w:rsidR="003B5CF4" w:rsidRPr="003B5CF4">
        <w:rPr>
          <w:lang w:val="fr-FR"/>
        </w:rPr>
        <w:t xml:space="preserve">ancienneté de la marque française </w:t>
      </w:r>
      <w:r w:rsidR="00EC4B9E">
        <w:rPr>
          <w:lang w:val="fr-FR"/>
        </w:rPr>
        <w:t>n</w:t>
      </w:r>
      <w:r w:rsidR="003B5CF4" w:rsidRPr="003B5CF4">
        <w:rPr>
          <w:lang w:val="fr-FR"/>
        </w:rPr>
        <w:t>º 4</w:t>
      </w:r>
      <w:r w:rsidR="00E618B3">
        <w:rPr>
          <w:lang w:val="fr-FR"/>
        </w:rPr>
        <w:t> </w:t>
      </w:r>
      <w:r w:rsidR="003B5CF4" w:rsidRPr="003B5CF4">
        <w:rPr>
          <w:lang w:val="fr-FR"/>
        </w:rPr>
        <w:t>648</w:t>
      </w:r>
      <w:r w:rsidR="00E618B3">
        <w:rPr>
          <w:lang w:val="fr-FR"/>
        </w:rPr>
        <w:t> </w:t>
      </w:r>
      <w:r w:rsidR="003B5CF4" w:rsidRPr="003B5CF4">
        <w:rPr>
          <w:lang w:val="fr-FR"/>
        </w:rPr>
        <w:t>521 déposée le 18 mai 2020</w:t>
      </w:r>
      <w:r w:rsidR="00C76808">
        <w:rPr>
          <w:lang w:val="fr-FR"/>
        </w:rPr>
        <w:t xml:space="preserve"> et </w:t>
      </w:r>
      <w:r w:rsidR="00C76808">
        <w:rPr>
          <w:color w:val="000000"/>
          <w:lang w:val="fr-FR"/>
        </w:rPr>
        <w:t>enregistrée le 23 juillet 2021</w:t>
      </w:r>
      <w:r w:rsidR="003B5CF4" w:rsidRPr="003B5CF4">
        <w:rPr>
          <w:lang w:val="fr-FR"/>
        </w:rPr>
        <w:t xml:space="preserve">, </w:t>
      </w:r>
      <w:r w:rsidRPr="003B5CF4">
        <w:rPr>
          <w:lang w:val="fr-FR"/>
        </w:rPr>
        <w:t>a</w:t>
      </w:r>
      <w:r w:rsidRPr="002F7E0E">
        <w:rPr>
          <w:lang w:val="fr-FR"/>
        </w:rPr>
        <w:t xml:space="preserve"> sollicité l'enregistrement de la marque figurative</w:t>
      </w:r>
    </w:p>
    <w:p w14:paraId="4C3F6CB3" w14:textId="77777777" w:rsidR="00CE4E97" w:rsidRDefault="00633083" w:rsidP="009635F0">
      <w:pPr>
        <w:pStyle w:val="TM"/>
      </w:pPr>
      <w:r>
        <w:rPr>
          <w:noProof/>
        </w:rPr>
        <w:drawing>
          <wp:inline distT="0" distB="0" distL="0" distR="0" wp14:anchorId="1B4DFD7B" wp14:editId="1A021773">
            <wp:extent cx="2884177" cy="2038985"/>
            <wp:effectExtent l="0" t="0" r="0" b="0"/>
            <wp:docPr id="1021076194" name="Picture 102107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9916" cy="2043042"/>
                    </a:xfrm>
                    <a:prstGeom prst="rect">
                      <a:avLst/>
                    </a:prstGeom>
                  </pic:spPr>
                </pic:pic>
              </a:graphicData>
            </a:graphic>
          </wp:inline>
        </w:drawing>
      </w:r>
    </w:p>
    <w:p w14:paraId="3839E26C" w14:textId="77777777" w:rsidR="00CE4E97" w:rsidRPr="002F7E0E" w:rsidRDefault="003B5CF4" w:rsidP="009635F0">
      <w:pPr>
        <w:pStyle w:val="Continue1"/>
        <w:rPr>
          <w:lang w:val="fr-FR"/>
        </w:rPr>
      </w:pPr>
      <w:r w:rsidRPr="00E618B3">
        <w:rPr>
          <w:lang w:val="fr-FR"/>
        </w:rPr>
        <w:t xml:space="preserve">(« la marque contestée ») comme marque de l'Union européenne « MUE » </w:t>
      </w:r>
      <w:r w:rsidR="00633083" w:rsidRPr="00E618B3">
        <w:rPr>
          <w:lang w:val="fr-FR"/>
        </w:rPr>
        <w:t xml:space="preserve">pour, après modification en date du </w:t>
      </w:r>
      <w:r w:rsidR="00E618B3" w:rsidRPr="00E618B3">
        <w:rPr>
          <w:lang w:val="fr-FR"/>
        </w:rPr>
        <w:t>18 novembre 2021</w:t>
      </w:r>
      <w:r w:rsidR="00633083" w:rsidRPr="00E618B3">
        <w:rPr>
          <w:lang w:val="fr-FR"/>
        </w:rPr>
        <w:t>, les produits suivants :</w:t>
      </w:r>
    </w:p>
    <w:p w14:paraId="1FB02972" w14:textId="77777777" w:rsidR="00CE4E97" w:rsidRPr="002F7E0E" w:rsidRDefault="00633083" w:rsidP="009635F0">
      <w:pPr>
        <w:pStyle w:val="Continue1Italics"/>
        <w:rPr>
          <w:lang w:val="fr-FR"/>
        </w:rPr>
      </w:pPr>
      <w:r w:rsidRPr="009B5CFC">
        <w:rPr>
          <w:i w:val="0"/>
          <w:iCs/>
          <w:lang w:val="fr-FR"/>
        </w:rPr>
        <w:t>Classe 9:</w:t>
      </w:r>
      <w:r w:rsidRPr="009635F0">
        <w:rPr>
          <w:i w:val="0"/>
          <w:iCs/>
          <w:lang w:val="fr-FR"/>
        </w:rPr>
        <w:t> </w:t>
      </w:r>
      <w:r w:rsidRPr="002F7E0E">
        <w:rPr>
          <w:lang w:val="fr-FR"/>
        </w:rPr>
        <w:t xml:space="preserve">Appareils </w:t>
      </w:r>
      <w:r w:rsidR="009635F0" w:rsidRPr="002F7E0E">
        <w:rPr>
          <w:lang w:val="fr-FR"/>
        </w:rPr>
        <w:t xml:space="preserve">et instruments scientifiques, de recherche, photographiques, cinématographiques, audiovisuels, optiques à savoir lunettes; lunettes optiques; lunettes de soleil; lunettes de sport; lunettes teintées ou anti-éblouissantes; lunettes de protection; lunettes 3 </w:t>
      </w:r>
      <w:r w:rsidRPr="002F7E0E">
        <w:rPr>
          <w:lang w:val="fr-FR"/>
        </w:rPr>
        <w:t xml:space="preserve">D; </w:t>
      </w:r>
      <w:r w:rsidR="009635F0" w:rsidRPr="002F7E0E">
        <w:rPr>
          <w:lang w:val="fr-FR"/>
        </w:rPr>
        <w:t xml:space="preserve">montures de lunettes; étuis à lunettes et étuis pour verres de contact; cordons et chaînes de lunettes; loupes; lentilles optiques; lentille de contact; verres optiques; verres correcteurs (optique); verres de lunettes; verres teintés ou filtrant; verres de protection; verres grossissants; jumelles (optique); jumelles de théâtre; pince-nez; articles de lunetterie; appareils pour l'enregistrement, la transmission, la reproduction du son ou des images; casques audio et casques vidéo; </w:t>
      </w:r>
      <w:r w:rsidR="009B5CFC" w:rsidRPr="002F7E0E">
        <w:rPr>
          <w:lang w:val="fr-FR"/>
        </w:rPr>
        <w:t>écouteurs</w:t>
      </w:r>
      <w:r w:rsidR="009635F0" w:rsidRPr="002F7E0E">
        <w:rPr>
          <w:lang w:val="fr-FR"/>
        </w:rPr>
        <w:t xml:space="preserve">; casques de réalité virtuelle et augmentée; enceintes acoustiques avec ou sans fils pour la musique; supports d'enregistrements magnétiques; disques acoustiques; disques compacts; </w:t>
      </w:r>
      <w:r w:rsidRPr="002F7E0E">
        <w:rPr>
          <w:lang w:val="fr-FR"/>
        </w:rPr>
        <w:t xml:space="preserve">DVD; clés USB et </w:t>
      </w:r>
      <w:r w:rsidR="009635F0" w:rsidRPr="002F7E0E">
        <w:rPr>
          <w:lang w:val="fr-FR"/>
        </w:rPr>
        <w:t xml:space="preserve">autres supports d'enregistrement numériques; mécanismes pour appareils à prépaiement; caisses enregistreuses; machines à calculer et équipement pour le traitement de l'information; tablettes; ordinateurs et périphériques d'ordinateurs; logiciels; tapis de souris; </w:t>
      </w:r>
      <w:r w:rsidR="009B5CFC" w:rsidRPr="002F7E0E">
        <w:rPr>
          <w:lang w:val="fr-FR"/>
        </w:rPr>
        <w:t>étuis</w:t>
      </w:r>
      <w:r w:rsidR="009635F0" w:rsidRPr="002F7E0E">
        <w:rPr>
          <w:lang w:val="fr-FR"/>
        </w:rPr>
        <w:t xml:space="preserve"> pour tablettes; pour téléphones mobiles et ordinateurs portables; accessoires pour téléphones, téléphones portables, smartphones, tablettes</w:t>
      </w:r>
      <w:r w:rsidRPr="002F7E0E">
        <w:rPr>
          <w:lang w:val="fr-FR"/>
        </w:rPr>
        <w:t>, PDA (</w:t>
      </w:r>
      <w:r w:rsidR="009635F0" w:rsidRPr="002F7E0E">
        <w:rPr>
          <w:lang w:val="fr-FR"/>
        </w:rPr>
        <w:t xml:space="preserve">assistants personnels numériques) et lecteurs </w:t>
      </w:r>
      <w:r w:rsidRPr="002F7E0E">
        <w:rPr>
          <w:lang w:val="fr-FR"/>
        </w:rPr>
        <w:t xml:space="preserve">MP3, </w:t>
      </w:r>
      <w:r w:rsidR="009635F0" w:rsidRPr="002F7E0E">
        <w:rPr>
          <w:lang w:val="fr-FR"/>
        </w:rPr>
        <w:t>à savoir nécessaires mains libres pour téléphones, batteries, housses, étuis, coques, façades, chargeurs, dragonnes pour téléphones portables, lanières de poignet ou lanières tour de cou; casques de protection; étui pour les téléphones portables.</w:t>
      </w:r>
    </w:p>
    <w:p w14:paraId="4432B695" w14:textId="77777777" w:rsidR="00CE4E97" w:rsidRPr="002F7E0E" w:rsidRDefault="00633083" w:rsidP="009635F0">
      <w:pPr>
        <w:pStyle w:val="Continue1Italics"/>
        <w:rPr>
          <w:lang w:val="fr-FR"/>
        </w:rPr>
      </w:pPr>
      <w:r w:rsidRPr="009B5CFC">
        <w:rPr>
          <w:i w:val="0"/>
          <w:iCs/>
          <w:lang w:val="fr-FR"/>
        </w:rPr>
        <w:t>Classe 14: </w:t>
      </w:r>
      <w:r w:rsidRPr="002F7E0E">
        <w:rPr>
          <w:lang w:val="fr-FR"/>
        </w:rPr>
        <w:t xml:space="preserve">Métaux </w:t>
      </w:r>
      <w:r w:rsidR="009635F0" w:rsidRPr="002F7E0E">
        <w:rPr>
          <w:lang w:val="fr-FR"/>
        </w:rPr>
        <w:t xml:space="preserve">précieux et leurs alliages; objets d'art (en métaux précieux); articles de joaillerie et de bijouterie (y compris bijouterie de fantaisie) en métaux précieux, en alliages et en plaqué, à savoir anneaux, bagues, boucles d'oreille, bracelets, broches, </w:t>
      </w:r>
      <w:r w:rsidR="009635F0" w:rsidRPr="002F7E0E">
        <w:rPr>
          <w:lang w:val="fr-FR"/>
        </w:rPr>
        <w:lastRenderedPageBreak/>
        <w:t xml:space="preserve">pendentifs, breloques, chaînes et chaînes de montres, colliers, médailles, médaillons, parures; ornements de chapeaux (bijouterie); épingles (bijouterie); épingles de parures; épingles à cravates; boutons de manchette; articles de bijouterie pour chaussures; joaillerie, bijouterie, pierres précieuses, pierres fines, perles; </w:t>
      </w:r>
      <w:r w:rsidR="009B5CFC" w:rsidRPr="002F7E0E">
        <w:rPr>
          <w:lang w:val="fr-FR"/>
        </w:rPr>
        <w:t>écrins</w:t>
      </w:r>
      <w:r w:rsidR="009635F0" w:rsidRPr="002F7E0E">
        <w:rPr>
          <w:lang w:val="fr-FR"/>
        </w:rPr>
        <w:t xml:space="preserve"> et coffrets à bijoux; porte-clefs en métaux précieux, en alliages ou en plaqué.</w:t>
      </w:r>
    </w:p>
    <w:p w14:paraId="6893467F" w14:textId="77777777" w:rsidR="00CE4E97" w:rsidRPr="002F7E0E" w:rsidRDefault="00633083" w:rsidP="009635F0">
      <w:pPr>
        <w:pStyle w:val="Continue1Italics"/>
        <w:rPr>
          <w:lang w:val="fr-FR"/>
        </w:rPr>
      </w:pPr>
      <w:r w:rsidRPr="009B5CFC">
        <w:rPr>
          <w:i w:val="0"/>
          <w:iCs/>
          <w:lang w:val="fr-FR"/>
        </w:rPr>
        <w:t>Classe 18:</w:t>
      </w:r>
      <w:r w:rsidRPr="002F7E0E">
        <w:rPr>
          <w:lang w:val="fr-FR"/>
        </w:rPr>
        <w:t xml:space="preserve"> Cuir et </w:t>
      </w:r>
      <w:r w:rsidR="009635F0" w:rsidRPr="002F7E0E">
        <w:rPr>
          <w:lang w:val="fr-FR"/>
        </w:rPr>
        <w:t xml:space="preserve">imitations du cuir, produits en ces matières non compris dans d'autres classes, à savoir boites en cuir, boites en carton-cuir, garnitures de cuir pour meubles, sachets (enveloppes, pochettes) pour l'emballage en cuir; sacs, à savoir sacs à main, sacs de voyage, sacs à dos, sacs de plage, sacs de sport, sacs à roulettes, sacs à bandoulière, cabas, sacs à provisions, bagages, cartables, serviettes et sacs d'écoliers, sacs à porter à la ceinture, sacoches, sacs-housse pour vêtements; trousses de voyage; sangles de cuir; mallettes pour documents, porte-documents, porte-billets, </w:t>
      </w:r>
      <w:proofErr w:type="spellStart"/>
      <w:r w:rsidR="009635F0" w:rsidRPr="002F7E0E">
        <w:rPr>
          <w:lang w:val="fr-FR"/>
        </w:rPr>
        <w:t>attaché-cases</w:t>
      </w:r>
      <w:proofErr w:type="spellEnd"/>
      <w:r w:rsidR="009635F0" w:rsidRPr="002F7E0E">
        <w:rPr>
          <w:lang w:val="fr-FR"/>
        </w:rPr>
        <w:t>; sacs à main de soirée; pochettes (maroquinerie); bourses, coffrets destinés à contenir des articles de toilette et de cosmétique dit "vanity-cases"; petite maroquinerie, à savoir portefeuilles, porte-monnaie non en métaux précieux, porte-cartes, étuis pour les clefs; porte-étiquettes à bagages; peaux d'animaux et imitations de peaux d'animaux; malles et valises; ensembles de voyage (articles de maroquinerie); parapluies, parasols et cannes; fouets et sellerie; vêtements pour animaux; sacs de transport pour les animaux.</w:t>
      </w:r>
    </w:p>
    <w:p w14:paraId="75046434" w14:textId="77777777" w:rsidR="00CE4E97" w:rsidRPr="002F7E0E" w:rsidRDefault="00633083" w:rsidP="009635F0">
      <w:pPr>
        <w:pStyle w:val="Continue1Italics"/>
        <w:rPr>
          <w:lang w:val="fr-FR"/>
        </w:rPr>
      </w:pPr>
      <w:r w:rsidRPr="009B5CFC">
        <w:rPr>
          <w:i w:val="0"/>
          <w:iCs/>
          <w:lang w:val="fr-FR"/>
        </w:rPr>
        <w:t>Classe 24:</w:t>
      </w:r>
      <w:r w:rsidRPr="002F7E0E">
        <w:rPr>
          <w:lang w:val="fr-FR"/>
        </w:rPr>
        <w:t xml:space="preserve"> Tissus à </w:t>
      </w:r>
      <w:r w:rsidR="009635F0" w:rsidRPr="002F7E0E">
        <w:rPr>
          <w:lang w:val="fr-FR"/>
        </w:rPr>
        <w:t xml:space="preserve">usage textile; textiles non tissés et produits textiles non compris dans d'autres clases à savoir linge de bain (à l'exception de l'habillement); linge de maison; linge de lit; linge de table; linge de toilette; serviettes à savoir de toilette, de plage, de sport; couvertures de voyage; rideaux; tentures murales; mouchoirs de poche; couvertures de lit et de table; tous les articles précités, en matières textiles; textiles et succédanés de textiles; rideaux en matières plastiques; </w:t>
      </w:r>
      <w:r w:rsidR="009B5CFC" w:rsidRPr="002F7E0E">
        <w:rPr>
          <w:lang w:val="fr-FR"/>
        </w:rPr>
        <w:t>étoffes</w:t>
      </w:r>
      <w:r w:rsidR="009635F0" w:rsidRPr="002F7E0E">
        <w:rPr>
          <w:lang w:val="fr-FR"/>
        </w:rPr>
        <w:t xml:space="preserve"> de démaquillage; housses pour coussins; tapis de billards.</w:t>
      </w:r>
    </w:p>
    <w:p w14:paraId="44851893" w14:textId="77777777" w:rsidR="00CE4E97" w:rsidRPr="00633083" w:rsidRDefault="00633083" w:rsidP="009635F0">
      <w:pPr>
        <w:pStyle w:val="Continue1Italics"/>
        <w:rPr>
          <w:lang w:val="fr-FR"/>
        </w:rPr>
      </w:pPr>
      <w:bookmarkStart w:id="1" w:name="appealGsVariable"/>
      <w:r w:rsidRPr="009B5CFC">
        <w:rPr>
          <w:i w:val="0"/>
          <w:iCs/>
          <w:lang w:val="fr-FR"/>
        </w:rPr>
        <w:t>Classe 25:</w:t>
      </w:r>
      <w:r w:rsidRPr="002F7E0E">
        <w:rPr>
          <w:lang w:val="fr-FR"/>
        </w:rPr>
        <w:t xml:space="preserve"> Vêtements, </w:t>
      </w:r>
      <w:r w:rsidR="009635F0" w:rsidRPr="002F7E0E">
        <w:rPr>
          <w:lang w:val="fr-FR"/>
        </w:rPr>
        <w:t xml:space="preserve">chaussures et chapellerie; bonneterie; vêtements (habillement) pour femmes, hommes et enfants, à savoir robes; jupes; jupons; jupes-culottes; costumes; tailleurs; smokings; pantalons; shorts; bermudas; caleçons; chemises; chemisiers; corsages; blouses; tee-shirts; sweat-shirts; gilets; vestes; cardigans; pull-overs; chandails; pèlerines; parkas; anoraks; manteaux; gabardines; imperméables; fourrures; étoles; écharpes; châles; foulards; bandeaux pour la tête (habillement); gants; cravates; ceintures (habillement); chaussettes; bas; collants; lingerie; sous-vêtements; pyjamas; robes de chambre; maillots de bain; peignoirs de bain; bretelles; vêtements en cuir ou en imitation du cuir; survêtements; vêtements de sport; chaussures (à l'exception des chaussures orthopédiques), à savoir souliers; sandales; escarpins; mocassins; bottes; bottines; </w:t>
      </w:r>
      <w:r w:rsidR="009635F0" w:rsidRPr="00633083">
        <w:rPr>
          <w:lang w:val="fr-FR"/>
        </w:rPr>
        <w:t>chaussons; pantoufles; chaussures de sport; chapellerie, à savoir chapeaux; bérets; casquettes; articles de lingerie; masques pour dormir.</w:t>
      </w:r>
    </w:p>
    <w:bookmarkEnd w:id="1"/>
    <w:p w14:paraId="410C98A4" w14:textId="77777777" w:rsidR="00633083" w:rsidRDefault="00633083" w:rsidP="005C4AC3">
      <w:pPr>
        <w:pStyle w:val="Numbered1"/>
        <w:rPr>
          <w:lang w:val="fr-FR"/>
        </w:rPr>
      </w:pPr>
      <w:r w:rsidRPr="00633083">
        <w:rPr>
          <w:lang w:val="fr-FR"/>
        </w:rPr>
        <w:t>Le 23 novembre 2021, l'examinateur a soulevé un refus provisoire total de protection de la demande de marque de l’Union européenne (MUE) sur la base de l’article 7, paragraphe 1, point b), du RMUE. L’examinateur a estimé, en substance, que le signe était dépourvu de tout caractère</w:t>
      </w:r>
      <w:r>
        <w:rPr>
          <w:lang w:val="fr-FR"/>
        </w:rPr>
        <w:t xml:space="preserve"> distinctif car il consiste</w:t>
      </w:r>
      <w:r w:rsidRPr="0014529B">
        <w:rPr>
          <w:lang w:val="fr-FR"/>
        </w:rPr>
        <w:t xml:space="preserve"> </w:t>
      </w:r>
      <w:r w:rsidRPr="00A506DC">
        <w:rPr>
          <w:lang w:val="fr-FR"/>
        </w:rPr>
        <w:t>simplement en la rotation et répétition d’éléments figuratifs qui du</w:t>
      </w:r>
      <w:r>
        <w:rPr>
          <w:lang w:val="fr-FR"/>
        </w:rPr>
        <w:t xml:space="preserve"> </w:t>
      </w:r>
      <w:r w:rsidRPr="00167D7F">
        <w:rPr>
          <w:lang w:val="fr-FR"/>
        </w:rPr>
        <w:t>fait de leur cumulation créent un rectangle. La répétition des éléments ainsi que leurs formes rectangulaires créent l’impression d’une sorte de labyrinthe ressemblant à un code barre ou code QR lorsqu’il est vu de loin ou à taille réduite.</w:t>
      </w:r>
    </w:p>
    <w:p w14:paraId="1B48B23C" w14:textId="77777777" w:rsidR="005C4AC3" w:rsidRDefault="005C4AC3" w:rsidP="005C4AC3">
      <w:pPr>
        <w:pStyle w:val="Numbered1"/>
        <w:rPr>
          <w:lang w:val="fr-FR"/>
        </w:rPr>
      </w:pPr>
      <w:r w:rsidRPr="00E618B3">
        <w:rPr>
          <w:lang w:val="fr-FR"/>
        </w:rPr>
        <w:lastRenderedPageBreak/>
        <w:t xml:space="preserve">La </w:t>
      </w:r>
      <w:r w:rsidR="001740D3">
        <w:rPr>
          <w:lang w:val="fr-FR"/>
        </w:rPr>
        <w:t xml:space="preserve">demanderesse </w:t>
      </w:r>
      <w:r w:rsidRPr="00E618B3">
        <w:rPr>
          <w:lang w:val="fr-FR"/>
        </w:rPr>
        <w:t>a maintenu sa demande d'enregistrement malgré les objections soulevées par l'examinateur.</w:t>
      </w:r>
    </w:p>
    <w:p w14:paraId="4EEA556D" w14:textId="77777777" w:rsidR="00421702" w:rsidRPr="00A34552" w:rsidRDefault="00421702" w:rsidP="00A34552">
      <w:pPr>
        <w:pStyle w:val="Numbered1"/>
        <w:rPr>
          <w:lang w:val="fr-FR"/>
        </w:rPr>
      </w:pPr>
      <w:r w:rsidRPr="00A34552">
        <w:rPr>
          <w:lang w:val="fr-FR"/>
        </w:rPr>
        <w:t>Le 13 juin</w:t>
      </w:r>
      <w:r w:rsidR="00C76808" w:rsidRPr="00A34552">
        <w:rPr>
          <w:lang w:val="fr-FR"/>
        </w:rPr>
        <w:t> </w:t>
      </w:r>
      <w:r w:rsidRPr="00A34552">
        <w:rPr>
          <w:lang w:val="fr-FR"/>
        </w:rPr>
        <w:t xml:space="preserve">2022, la </w:t>
      </w:r>
      <w:r w:rsidR="001740D3">
        <w:rPr>
          <w:lang w:val="fr-FR"/>
        </w:rPr>
        <w:t xml:space="preserve">demanderesse </w:t>
      </w:r>
      <w:r w:rsidRPr="00A34552">
        <w:rPr>
          <w:lang w:val="fr-FR"/>
        </w:rPr>
        <w:t>revendique le caractère distinctif acquis par l’usage</w:t>
      </w:r>
      <w:r w:rsidR="00A34552" w:rsidRPr="00A34552">
        <w:rPr>
          <w:lang w:val="fr-FR"/>
        </w:rPr>
        <w:t xml:space="preserve"> au sens de l’</w:t>
      </w:r>
      <w:r w:rsidR="009B5CFC" w:rsidRPr="00A34552">
        <w:rPr>
          <w:lang w:val="fr-FR"/>
        </w:rPr>
        <w:t>article</w:t>
      </w:r>
      <w:r w:rsidR="009B5CFC">
        <w:rPr>
          <w:lang w:val="fr-FR"/>
        </w:rPr>
        <w:t> </w:t>
      </w:r>
      <w:r w:rsidR="009B5CFC" w:rsidRPr="00A34552">
        <w:rPr>
          <w:lang w:val="fr-FR"/>
        </w:rPr>
        <w:t>7</w:t>
      </w:r>
      <w:r w:rsidR="00A34552" w:rsidRPr="00A34552">
        <w:rPr>
          <w:lang w:val="fr-FR"/>
        </w:rPr>
        <w:t xml:space="preserve">, </w:t>
      </w:r>
      <w:r w:rsidR="009B5CFC" w:rsidRPr="00A34552">
        <w:rPr>
          <w:lang w:val="fr-FR"/>
        </w:rPr>
        <w:t>paragraphe</w:t>
      </w:r>
      <w:r w:rsidR="009B5CFC">
        <w:rPr>
          <w:lang w:val="fr-FR"/>
        </w:rPr>
        <w:t> </w:t>
      </w:r>
      <w:r w:rsidR="009B5CFC" w:rsidRPr="00A34552">
        <w:rPr>
          <w:lang w:val="fr-FR"/>
        </w:rPr>
        <w:t>3</w:t>
      </w:r>
      <w:r w:rsidR="00A34552" w:rsidRPr="00A34552">
        <w:rPr>
          <w:lang w:val="fr-FR"/>
        </w:rPr>
        <w:t>, du RMUE</w:t>
      </w:r>
      <w:r w:rsidR="00A34552">
        <w:rPr>
          <w:lang w:val="fr-FR"/>
        </w:rPr>
        <w:t>,</w:t>
      </w:r>
      <w:r w:rsidRPr="00A34552">
        <w:rPr>
          <w:lang w:val="fr-FR"/>
        </w:rPr>
        <w:t xml:space="preserve"> de façon subsidiaire.</w:t>
      </w:r>
    </w:p>
    <w:p w14:paraId="0EDC2831" w14:textId="77777777" w:rsidR="00C76808" w:rsidRDefault="00C76808" w:rsidP="00C76808">
      <w:pPr>
        <w:pStyle w:val="Numbered1"/>
        <w:rPr>
          <w:lang w:val="fr-FR"/>
        </w:rPr>
      </w:pPr>
      <w:r w:rsidRPr="005A2105">
        <w:rPr>
          <w:color w:val="000000"/>
          <w:lang w:val="fr-FR"/>
        </w:rPr>
        <w:t xml:space="preserve">Le </w:t>
      </w:r>
      <w:r w:rsidR="00EC4B9E">
        <w:rPr>
          <w:color w:val="000000"/>
          <w:lang w:val="fr-FR"/>
        </w:rPr>
        <w:t>29</w:t>
      </w:r>
      <w:r w:rsidRPr="005A2105">
        <w:rPr>
          <w:color w:val="000000"/>
          <w:lang w:val="fr-FR"/>
        </w:rPr>
        <w:t> </w:t>
      </w:r>
      <w:r w:rsidRPr="007C56DB">
        <w:rPr>
          <w:color w:val="000000"/>
          <w:lang w:val="fr-FR"/>
        </w:rPr>
        <w:t>novembre 2022, l’examinateur a confirmé l’absence de caractère distinctif de la marque demandée</w:t>
      </w:r>
      <w:r w:rsidRPr="007C56DB">
        <w:rPr>
          <w:lang w:val="fr-FR"/>
        </w:rPr>
        <w:t>. En particulier, une recherche sur internet en date du 25 novembre 2022 démontre que ce</w:t>
      </w:r>
      <w:r w:rsidR="00EC4B9E">
        <w:rPr>
          <w:lang w:val="fr-FR"/>
        </w:rPr>
        <w:t>s</w:t>
      </w:r>
      <w:r w:rsidRPr="007C56DB">
        <w:rPr>
          <w:lang w:val="fr-FR"/>
        </w:rPr>
        <w:t xml:space="preserve"> type</w:t>
      </w:r>
      <w:r w:rsidR="00EC4B9E">
        <w:rPr>
          <w:lang w:val="fr-FR"/>
        </w:rPr>
        <w:t>s</w:t>
      </w:r>
      <w:r w:rsidRPr="007C56DB">
        <w:rPr>
          <w:lang w:val="fr-FR"/>
        </w:rPr>
        <w:t xml:space="preserve"> de finition, de surface, d’imprimé et d’étiquette </w:t>
      </w:r>
      <w:r w:rsidR="00EC4B9E">
        <w:rPr>
          <w:lang w:val="fr-FR"/>
        </w:rPr>
        <w:t>sont</w:t>
      </w:r>
      <w:r w:rsidR="00EC4B9E" w:rsidRPr="007C56DB">
        <w:rPr>
          <w:lang w:val="fr-FR"/>
        </w:rPr>
        <w:t xml:space="preserve"> </w:t>
      </w:r>
      <w:r w:rsidRPr="007C56DB">
        <w:rPr>
          <w:lang w:val="fr-FR"/>
        </w:rPr>
        <w:t>communément utilisé</w:t>
      </w:r>
      <w:r w:rsidR="00EC4B9E">
        <w:rPr>
          <w:lang w:val="fr-FR"/>
        </w:rPr>
        <w:t>s</w:t>
      </w:r>
      <w:r w:rsidRPr="005A2105">
        <w:rPr>
          <w:lang w:val="fr-FR"/>
        </w:rPr>
        <w:t xml:space="preserve"> sur des produits similaires à ceux pour lesquels la protection est demandée. Par conséquent, l’impact global du signe reste celui de l’aspect externe du produit, de sa surface ou finition, ou d’une étiquette non distinctive, qui est incapable de </w:t>
      </w:r>
      <w:r w:rsidRPr="00032965">
        <w:rPr>
          <w:lang w:val="fr-FR"/>
        </w:rPr>
        <w:t>transmettre à première vue un message de marque.</w:t>
      </w:r>
    </w:p>
    <w:p w14:paraId="2EFEA15D" w14:textId="77777777" w:rsidR="007F5D26" w:rsidRPr="00EC4B9E" w:rsidRDefault="007F5D26" w:rsidP="00EC4B9E">
      <w:pPr>
        <w:pStyle w:val="Numbered1"/>
        <w:rPr>
          <w:lang w:val="fr-FR"/>
        </w:rPr>
      </w:pPr>
      <w:r w:rsidRPr="00032965">
        <w:rPr>
          <w:lang w:val="fr-FR"/>
        </w:rPr>
        <w:t>Le 22 mars 202</w:t>
      </w:r>
      <w:r>
        <w:rPr>
          <w:lang w:val="fr-FR"/>
        </w:rPr>
        <w:t>3</w:t>
      </w:r>
      <w:r w:rsidRPr="00032965">
        <w:rPr>
          <w:lang w:val="fr-FR"/>
        </w:rPr>
        <w:t>, la demanderesse a, en substance, fait valoir que le signe n’est constitué ni par la forme ni par l’emballage des produits visés, mais par un motif caractéristique, constitué de la répétition spécifique du logo «</w:t>
      </w:r>
      <w:r>
        <w:rPr>
          <w:noProof/>
        </w:rPr>
        <w:drawing>
          <wp:inline distT="0" distB="0" distL="0" distR="0" wp14:anchorId="5D4A605B" wp14:editId="095F6B23">
            <wp:extent cx="502871"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033" cy="555923"/>
                    </a:xfrm>
                    <a:prstGeom prst="rect">
                      <a:avLst/>
                    </a:prstGeom>
                  </pic:spPr>
                </pic:pic>
              </a:graphicData>
            </a:graphic>
          </wp:inline>
        </w:drawing>
      </w:r>
      <w:r w:rsidRPr="00032965">
        <w:rPr>
          <w:lang w:val="fr-FR"/>
        </w:rPr>
        <w:t xml:space="preserve">» enregistré par l’Office composé des lettres « P » et « B ». En outre, elle a fait valoir que l’INPI et l’EUIPO ont enregistré de nombreuses marques similaires. La demanderesse </w:t>
      </w:r>
      <w:r w:rsidR="00EC4B9E">
        <w:rPr>
          <w:lang w:val="fr-FR"/>
        </w:rPr>
        <w:t>a</w:t>
      </w:r>
      <w:r w:rsidRPr="00EC4B9E">
        <w:rPr>
          <w:lang w:val="fr-FR"/>
        </w:rPr>
        <w:t xml:space="preserve"> par ailleurs notifié son intention de revendiquer le caractère distinctif acquis par l’usage de façon subsidiaire dans une communication à l’Office en date du 13 juin 2022.</w:t>
      </w:r>
    </w:p>
    <w:p w14:paraId="79814426" w14:textId="77777777" w:rsidR="007F5D26" w:rsidRPr="00032965" w:rsidRDefault="007F5D26" w:rsidP="00C76808">
      <w:pPr>
        <w:pStyle w:val="Numbered1"/>
        <w:rPr>
          <w:lang w:val="fr-FR"/>
        </w:rPr>
      </w:pPr>
      <w:r w:rsidRPr="00032965">
        <w:rPr>
          <w:color w:val="000000"/>
          <w:lang w:val="fr-FR"/>
        </w:rPr>
        <w:t>Par décision rendue le 4 juillet</w:t>
      </w:r>
      <w:r w:rsidRPr="00167D7F">
        <w:rPr>
          <w:color w:val="000000"/>
          <w:lang w:val="fr-FR"/>
        </w:rPr>
        <w:t> 2023, l’examinateur a refusé la demande de marque, conformément à l’</w:t>
      </w:r>
      <w:r w:rsidR="009B5CFC" w:rsidRPr="00167D7F">
        <w:rPr>
          <w:color w:val="000000"/>
          <w:lang w:val="fr-FR"/>
        </w:rPr>
        <w:t>article</w:t>
      </w:r>
      <w:r w:rsidR="009B5CFC">
        <w:rPr>
          <w:color w:val="000000"/>
          <w:lang w:val="fr-FR"/>
        </w:rPr>
        <w:t> </w:t>
      </w:r>
      <w:r w:rsidR="009B5CFC" w:rsidRPr="00167D7F">
        <w:rPr>
          <w:color w:val="000000"/>
          <w:lang w:val="fr-FR"/>
        </w:rPr>
        <w:t>7</w:t>
      </w:r>
      <w:r w:rsidRPr="00167D7F">
        <w:rPr>
          <w:color w:val="000000"/>
          <w:lang w:val="fr-FR"/>
        </w:rPr>
        <w:t xml:space="preserve">, </w:t>
      </w:r>
      <w:r w:rsidR="009B5CFC" w:rsidRPr="00167D7F">
        <w:rPr>
          <w:color w:val="000000"/>
          <w:lang w:val="fr-FR"/>
        </w:rPr>
        <w:t>paragraphe</w:t>
      </w:r>
      <w:r w:rsidR="009B5CFC">
        <w:rPr>
          <w:color w:val="000000"/>
          <w:lang w:val="fr-FR"/>
        </w:rPr>
        <w:t> </w:t>
      </w:r>
      <w:r w:rsidR="009B5CFC" w:rsidRPr="006E431A">
        <w:rPr>
          <w:lang w:val="fr-FR"/>
        </w:rPr>
        <w:t>1</w:t>
      </w:r>
      <w:r w:rsidRPr="006E431A">
        <w:rPr>
          <w:lang w:val="fr-FR"/>
        </w:rPr>
        <w:t xml:space="preserve">, </w:t>
      </w:r>
      <w:r w:rsidR="009B5CFC" w:rsidRPr="006E431A">
        <w:rPr>
          <w:lang w:val="fr-FR"/>
        </w:rPr>
        <w:t>point</w:t>
      </w:r>
      <w:r w:rsidR="009B5CFC">
        <w:rPr>
          <w:lang w:val="fr-FR"/>
        </w:rPr>
        <w:t> </w:t>
      </w:r>
      <w:r w:rsidR="009B5CFC" w:rsidRPr="006E431A">
        <w:rPr>
          <w:lang w:val="fr-FR"/>
        </w:rPr>
        <w:t>b)</w:t>
      </w:r>
      <w:r w:rsidRPr="006E431A">
        <w:rPr>
          <w:lang w:val="fr-FR"/>
        </w:rPr>
        <w:t xml:space="preserve">, et </w:t>
      </w:r>
      <w:r>
        <w:rPr>
          <w:lang w:val="fr-FR"/>
        </w:rPr>
        <w:t>à</w:t>
      </w:r>
      <w:r w:rsidRPr="006E431A">
        <w:rPr>
          <w:lang w:val="fr-FR"/>
        </w:rPr>
        <w:t xml:space="preserve"> l'</w:t>
      </w:r>
      <w:r w:rsidR="009B5CFC" w:rsidRPr="006E431A">
        <w:rPr>
          <w:lang w:val="fr-FR"/>
        </w:rPr>
        <w:t>article</w:t>
      </w:r>
      <w:r w:rsidR="009B5CFC">
        <w:rPr>
          <w:lang w:val="fr-FR"/>
        </w:rPr>
        <w:t> </w:t>
      </w:r>
      <w:r w:rsidR="009B5CFC" w:rsidRPr="006E431A">
        <w:rPr>
          <w:lang w:val="fr-FR"/>
        </w:rPr>
        <w:t>7</w:t>
      </w:r>
      <w:r w:rsidRPr="006E431A">
        <w:rPr>
          <w:lang w:val="fr-FR"/>
        </w:rPr>
        <w:t xml:space="preserve">, </w:t>
      </w:r>
      <w:r w:rsidR="009B5CFC" w:rsidRPr="006E431A">
        <w:rPr>
          <w:lang w:val="fr-FR"/>
        </w:rPr>
        <w:t>paragraphe</w:t>
      </w:r>
      <w:r w:rsidR="009B5CFC">
        <w:rPr>
          <w:lang w:val="fr-FR"/>
        </w:rPr>
        <w:t> </w:t>
      </w:r>
      <w:r w:rsidR="009B5CFC" w:rsidRPr="006E431A">
        <w:rPr>
          <w:lang w:val="fr-FR"/>
        </w:rPr>
        <w:t>2</w:t>
      </w:r>
      <w:r>
        <w:rPr>
          <w:lang w:val="fr-FR"/>
        </w:rPr>
        <w:t>,</w:t>
      </w:r>
      <w:r w:rsidRPr="006E431A">
        <w:rPr>
          <w:lang w:val="fr-FR"/>
        </w:rPr>
        <w:t xml:space="preserve"> du RMUE, </w:t>
      </w:r>
      <w:r w:rsidRPr="00167D7F">
        <w:rPr>
          <w:color w:val="000000"/>
          <w:lang w:val="fr-FR"/>
        </w:rPr>
        <w:t>dans sa totalité.</w:t>
      </w:r>
    </w:p>
    <w:p w14:paraId="6F205E10" w14:textId="77777777" w:rsidR="007F5D26" w:rsidRPr="007F5D26" w:rsidRDefault="007F5D26" w:rsidP="007F5D26">
      <w:pPr>
        <w:pStyle w:val="Numbered1"/>
        <w:rPr>
          <w:lang w:val="fr-FR"/>
        </w:rPr>
      </w:pPr>
      <w:r w:rsidRPr="007F5D26">
        <w:rPr>
          <w:lang w:val="fr-FR"/>
        </w:rPr>
        <w:t>Le 1 septembre 2023, la demanderesse a formé recours à l’encontre de la décision attaquée dans sa totalité. Ce recours a été transmis à la Première Chambre de recours sous le numéro de référence R</w:t>
      </w:r>
      <w:r w:rsidR="00804AD9">
        <w:rPr>
          <w:lang w:val="fr-FR"/>
        </w:rPr>
        <w:t> </w:t>
      </w:r>
      <w:r w:rsidRPr="007F5D26">
        <w:rPr>
          <w:lang w:val="fr-FR"/>
        </w:rPr>
        <w:t>1861/2023</w:t>
      </w:r>
      <w:r w:rsidR="009B5CFC">
        <w:rPr>
          <w:lang w:val="fr-FR"/>
        </w:rPr>
        <w:noBreakHyphen/>
      </w:r>
      <w:r w:rsidR="009B5CFC" w:rsidRPr="007F5D26">
        <w:rPr>
          <w:lang w:val="fr-FR"/>
        </w:rPr>
        <w:t>1</w:t>
      </w:r>
      <w:r w:rsidRPr="007F5D26">
        <w:rPr>
          <w:lang w:val="fr-FR"/>
        </w:rPr>
        <w:t>.</w:t>
      </w:r>
    </w:p>
    <w:p w14:paraId="47C57A2F" w14:textId="77777777" w:rsidR="007F5D26" w:rsidRPr="00032965" w:rsidRDefault="007F5D26" w:rsidP="007F5D26">
      <w:pPr>
        <w:pStyle w:val="Numbered1"/>
        <w:rPr>
          <w:lang w:val="fr-FR"/>
        </w:rPr>
      </w:pPr>
      <w:r>
        <w:rPr>
          <w:lang w:val="fr-FR"/>
        </w:rPr>
        <w:t>Par décision rendue le</w:t>
      </w:r>
      <w:r w:rsidR="005C4AC3" w:rsidRPr="005A43AC">
        <w:rPr>
          <w:lang w:val="fr-FR"/>
        </w:rPr>
        <w:t xml:space="preserve"> 12</w:t>
      </w:r>
      <w:r w:rsidR="005C4AC3">
        <w:rPr>
          <w:lang w:val="fr-FR"/>
        </w:rPr>
        <w:t> janvier </w:t>
      </w:r>
      <w:r w:rsidR="005C4AC3" w:rsidRPr="005A43AC">
        <w:rPr>
          <w:lang w:val="fr-FR"/>
        </w:rPr>
        <w:t>202</w:t>
      </w:r>
      <w:r>
        <w:rPr>
          <w:lang w:val="fr-FR"/>
        </w:rPr>
        <w:t>4, la Premi</w:t>
      </w:r>
      <w:r w:rsidRPr="007F5D26">
        <w:rPr>
          <w:lang w:val="fr-FR"/>
        </w:rPr>
        <w:t>ère C</w:t>
      </w:r>
      <w:r>
        <w:rPr>
          <w:lang w:val="fr-FR"/>
        </w:rPr>
        <w:t xml:space="preserve">hambre de recours a confirmé la décision attaquée, </w:t>
      </w:r>
      <w:r>
        <w:rPr>
          <w:color w:val="000000"/>
          <w:lang w:val="fr-FR"/>
        </w:rPr>
        <w:t xml:space="preserve">rejeté le recours et </w:t>
      </w:r>
      <w:r w:rsidR="00804AD9">
        <w:rPr>
          <w:color w:val="000000"/>
          <w:lang w:val="fr-FR"/>
        </w:rPr>
        <w:t>a</w:t>
      </w:r>
      <w:r>
        <w:rPr>
          <w:color w:val="000000"/>
          <w:lang w:val="fr-FR"/>
        </w:rPr>
        <w:t xml:space="preserve"> renvoyé l</w:t>
      </w:r>
      <w:r w:rsidR="00E079C0">
        <w:rPr>
          <w:color w:val="000000"/>
          <w:lang w:val="fr-FR"/>
        </w:rPr>
        <w:t>’</w:t>
      </w:r>
      <w:r>
        <w:rPr>
          <w:color w:val="000000"/>
          <w:lang w:val="fr-FR"/>
        </w:rPr>
        <w:t>affaire à l</w:t>
      </w:r>
      <w:r w:rsidR="00E079C0">
        <w:rPr>
          <w:color w:val="000000"/>
          <w:lang w:val="fr-FR"/>
        </w:rPr>
        <w:t>’</w:t>
      </w:r>
      <w:r>
        <w:rPr>
          <w:color w:val="000000"/>
          <w:lang w:val="fr-FR"/>
        </w:rPr>
        <w:t>examinateur aux fins de l´examen de la demande de caractère distinctif accru par l</w:t>
      </w:r>
      <w:r w:rsidR="00E079C0">
        <w:rPr>
          <w:color w:val="000000"/>
          <w:lang w:val="fr-FR"/>
        </w:rPr>
        <w:t>’</w:t>
      </w:r>
      <w:r>
        <w:rPr>
          <w:color w:val="000000"/>
          <w:lang w:val="fr-FR"/>
        </w:rPr>
        <w:t xml:space="preserve">usage. </w:t>
      </w:r>
    </w:p>
    <w:p w14:paraId="7DED25FA" w14:textId="77777777" w:rsidR="005C4AC3" w:rsidRDefault="00A34552" w:rsidP="00E618B3">
      <w:pPr>
        <w:pStyle w:val="Numbered1"/>
        <w:rPr>
          <w:lang w:val="fr-FR"/>
        </w:rPr>
      </w:pPr>
      <w:r>
        <w:rPr>
          <w:lang w:val="fr-FR"/>
        </w:rPr>
        <w:t xml:space="preserve">Le 5 juin 2024, la demanderesse </w:t>
      </w:r>
      <w:r w:rsidR="004D0783">
        <w:rPr>
          <w:lang w:val="fr-FR"/>
        </w:rPr>
        <w:t xml:space="preserve">a été </w:t>
      </w:r>
      <w:r>
        <w:rPr>
          <w:lang w:val="fr-FR"/>
        </w:rPr>
        <w:t>notifiée de la reprise de la procédure d</w:t>
      </w:r>
      <w:r w:rsidR="00E079C0">
        <w:rPr>
          <w:lang w:val="fr-FR"/>
        </w:rPr>
        <w:t>’</w:t>
      </w:r>
      <w:r>
        <w:rPr>
          <w:lang w:val="fr-FR"/>
        </w:rPr>
        <w:t>examen eu égard à la revendication subsidiaire du</w:t>
      </w:r>
      <w:r w:rsidRPr="00A34552">
        <w:rPr>
          <w:lang w:val="fr-FR"/>
        </w:rPr>
        <w:t xml:space="preserve"> caractère distinctif acquis par l’usage au sens de l’</w:t>
      </w:r>
      <w:r w:rsidR="009B5CFC" w:rsidRPr="00A34552">
        <w:rPr>
          <w:lang w:val="fr-FR"/>
        </w:rPr>
        <w:t>article</w:t>
      </w:r>
      <w:r w:rsidR="009B5CFC">
        <w:rPr>
          <w:lang w:val="fr-FR"/>
        </w:rPr>
        <w:t> </w:t>
      </w:r>
      <w:r w:rsidR="009B5CFC" w:rsidRPr="00A34552">
        <w:rPr>
          <w:lang w:val="fr-FR"/>
        </w:rPr>
        <w:t>7</w:t>
      </w:r>
      <w:r w:rsidRPr="00A34552">
        <w:rPr>
          <w:lang w:val="fr-FR"/>
        </w:rPr>
        <w:t xml:space="preserve">, </w:t>
      </w:r>
      <w:r w:rsidR="009B5CFC" w:rsidRPr="00A34552">
        <w:rPr>
          <w:lang w:val="fr-FR"/>
        </w:rPr>
        <w:t>paragraphe</w:t>
      </w:r>
      <w:r w:rsidR="009B5CFC">
        <w:rPr>
          <w:lang w:val="fr-FR"/>
        </w:rPr>
        <w:t> </w:t>
      </w:r>
      <w:r w:rsidR="009B5CFC" w:rsidRPr="00A34552">
        <w:rPr>
          <w:lang w:val="fr-FR"/>
        </w:rPr>
        <w:t>3</w:t>
      </w:r>
      <w:r w:rsidRPr="00A34552">
        <w:rPr>
          <w:lang w:val="fr-FR"/>
        </w:rPr>
        <w:t>, du RMUE</w:t>
      </w:r>
      <w:r>
        <w:rPr>
          <w:lang w:val="fr-FR"/>
        </w:rPr>
        <w:t>.</w:t>
      </w:r>
    </w:p>
    <w:p w14:paraId="0DD6DDE9" w14:textId="77777777" w:rsidR="00CE4E97" w:rsidRPr="00804AD9" w:rsidRDefault="00633083" w:rsidP="00804AD9">
      <w:pPr>
        <w:pStyle w:val="Numbered1"/>
        <w:rPr>
          <w:lang w:val="fr-FR"/>
        </w:rPr>
      </w:pPr>
      <w:r w:rsidRPr="005A43AC">
        <w:rPr>
          <w:lang w:val="fr-FR"/>
        </w:rPr>
        <w:t>Par décision rendue le 18</w:t>
      </w:r>
      <w:r w:rsidR="003B5CF4" w:rsidRPr="005A43AC">
        <w:rPr>
          <w:lang w:val="fr-FR"/>
        </w:rPr>
        <w:t> novembre </w:t>
      </w:r>
      <w:r w:rsidRPr="005A43AC">
        <w:rPr>
          <w:lang w:val="fr-FR"/>
        </w:rPr>
        <w:t>2024, (ci-après, «</w:t>
      </w:r>
      <w:r w:rsidR="00A34552">
        <w:rPr>
          <w:lang w:val="fr-FR"/>
        </w:rPr>
        <w:t> </w:t>
      </w:r>
      <w:r w:rsidRPr="005A43AC">
        <w:rPr>
          <w:lang w:val="fr-FR"/>
        </w:rPr>
        <w:t>la décision attaquée</w:t>
      </w:r>
      <w:r w:rsidR="00A34552">
        <w:rPr>
          <w:lang w:val="fr-FR"/>
        </w:rPr>
        <w:t> </w:t>
      </w:r>
      <w:r w:rsidRPr="005A43AC">
        <w:rPr>
          <w:lang w:val="fr-FR"/>
        </w:rPr>
        <w:t>»), l'examinateur a refusé la demande de marque, conformément à l'</w:t>
      </w:r>
      <w:r w:rsidR="009B5CFC" w:rsidRPr="005A43AC">
        <w:rPr>
          <w:lang w:val="fr-FR"/>
        </w:rPr>
        <w:t>article</w:t>
      </w:r>
      <w:r w:rsidR="009B5CFC">
        <w:rPr>
          <w:lang w:val="fr-FR"/>
        </w:rPr>
        <w:t> </w:t>
      </w:r>
      <w:r w:rsidR="009B5CFC" w:rsidRPr="005A43AC">
        <w:rPr>
          <w:lang w:val="fr-FR"/>
        </w:rPr>
        <w:t>7</w:t>
      </w:r>
      <w:r w:rsidR="00E079C0">
        <w:rPr>
          <w:lang w:val="fr-FR"/>
        </w:rPr>
        <w:t>, paragraphe </w:t>
      </w:r>
      <w:r w:rsidRPr="005A43AC">
        <w:rPr>
          <w:lang w:val="fr-FR"/>
        </w:rPr>
        <w:t>1</w:t>
      </w:r>
      <w:r w:rsidR="00E079C0">
        <w:rPr>
          <w:lang w:val="fr-FR"/>
        </w:rPr>
        <w:t>, point </w:t>
      </w:r>
      <w:r w:rsidRPr="005A43AC">
        <w:rPr>
          <w:lang w:val="fr-FR"/>
        </w:rPr>
        <w:t>b), lu conjointement avec l'</w:t>
      </w:r>
      <w:r w:rsidR="009B5CFC" w:rsidRPr="005A43AC">
        <w:rPr>
          <w:lang w:val="fr-FR"/>
        </w:rPr>
        <w:t>article</w:t>
      </w:r>
      <w:r w:rsidR="009B5CFC">
        <w:rPr>
          <w:lang w:val="fr-FR"/>
        </w:rPr>
        <w:t> </w:t>
      </w:r>
      <w:r w:rsidR="009B5CFC" w:rsidRPr="005A43AC">
        <w:rPr>
          <w:lang w:val="fr-FR"/>
        </w:rPr>
        <w:t>7</w:t>
      </w:r>
      <w:r w:rsidRPr="005A43AC">
        <w:rPr>
          <w:lang w:val="fr-FR"/>
        </w:rPr>
        <w:t>,</w:t>
      </w:r>
      <w:r w:rsidR="00452260" w:rsidRPr="005A43AC">
        <w:rPr>
          <w:lang w:val="fr-FR"/>
        </w:rPr>
        <w:t xml:space="preserve"> </w:t>
      </w:r>
      <w:r w:rsidR="009B5CFC" w:rsidRPr="005A43AC">
        <w:rPr>
          <w:lang w:val="fr-FR"/>
        </w:rPr>
        <w:t>paragraphe</w:t>
      </w:r>
      <w:r w:rsidR="009B5CFC">
        <w:rPr>
          <w:lang w:val="fr-FR"/>
        </w:rPr>
        <w:t> </w:t>
      </w:r>
      <w:r w:rsidR="009B5CFC" w:rsidRPr="005A43AC">
        <w:rPr>
          <w:lang w:val="fr-FR"/>
        </w:rPr>
        <w:t>2</w:t>
      </w:r>
      <w:r w:rsidRPr="005A43AC">
        <w:rPr>
          <w:lang w:val="fr-FR"/>
        </w:rPr>
        <w:t>, RMUE, dans sa totalité</w:t>
      </w:r>
      <w:r w:rsidR="00452260" w:rsidRPr="005A43AC">
        <w:rPr>
          <w:lang w:val="fr-FR"/>
        </w:rPr>
        <w:t xml:space="preserve"> au motif que </w:t>
      </w:r>
      <w:r w:rsidR="005A43AC" w:rsidRPr="005A43AC">
        <w:rPr>
          <w:lang w:val="fr-FR"/>
        </w:rPr>
        <w:t>la revendication selon laquelle la marque demandée a acquis un caractère distinctif par l’usage en application de l’</w:t>
      </w:r>
      <w:r w:rsidR="009B5CFC" w:rsidRPr="005A43AC">
        <w:rPr>
          <w:lang w:val="fr-FR"/>
        </w:rPr>
        <w:t>article</w:t>
      </w:r>
      <w:r w:rsidR="009B5CFC">
        <w:rPr>
          <w:lang w:val="fr-FR"/>
        </w:rPr>
        <w:t> </w:t>
      </w:r>
      <w:r w:rsidR="009B5CFC" w:rsidRPr="005A43AC">
        <w:rPr>
          <w:lang w:val="fr-FR"/>
        </w:rPr>
        <w:t>7</w:t>
      </w:r>
      <w:r w:rsidR="005A43AC" w:rsidRPr="005A43AC">
        <w:rPr>
          <w:lang w:val="fr-FR"/>
        </w:rPr>
        <w:t xml:space="preserve">, </w:t>
      </w:r>
      <w:r w:rsidR="009B5CFC" w:rsidRPr="005A43AC">
        <w:rPr>
          <w:lang w:val="fr-FR"/>
        </w:rPr>
        <w:t>paragraphe</w:t>
      </w:r>
      <w:r w:rsidR="009B5CFC">
        <w:rPr>
          <w:lang w:val="fr-FR"/>
        </w:rPr>
        <w:t> </w:t>
      </w:r>
      <w:r w:rsidR="009B5CFC" w:rsidRPr="005A43AC">
        <w:rPr>
          <w:lang w:val="fr-FR"/>
        </w:rPr>
        <w:t>3</w:t>
      </w:r>
      <w:r w:rsidR="005A43AC" w:rsidRPr="005A43AC">
        <w:rPr>
          <w:lang w:val="fr-FR"/>
        </w:rPr>
        <w:t>, du RMUE est rejetée</w:t>
      </w:r>
      <w:r w:rsidR="00E079C0">
        <w:rPr>
          <w:lang w:val="fr-FR"/>
        </w:rPr>
        <w:t>.</w:t>
      </w:r>
      <w:r w:rsidR="005A43AC">
        <w:rPr>
          <w:lang w:val="fr-FR"/>
        </w:rPr>
        <w:t xml:space="preserve"> </w:t>
      </w:r>
      <w:r w:rsidR="00E079C0">
        <w:rPr>
          <w:lang w:val="fr-FR"/>
        </w:rPr>
        <w:t>C</w:t>
      </w:r>
      <w:r w:rsidR="005A43AC" w:rsidRPr="005A43AC">
        <w:rPr>
          <w:lang w:val="fr-FR"/>
        </w:rPr>
        <w:t>onsidérant que la décision finale des chambres de recours du 12</w:t>
      </w:r>
      <w:r w:rsidR="005A43AC">
        <w:rPr>
          <w:lang w:val="fr-FR"/>
        </w:rPr>
        <w:t> janvier </w:t>
      </w:r>
      <w:r w:rsidR="005A43AC" w:rsidRPr="005A43AC">
        <w:rPr>
          <w:lang w:val="fr-FR"/>
        </w:rPr>
        <w:t>202</w:t>
      </w:r>
      <w:r w:rsidR="007F5D26">
        <w:rPr>
          <w:lang w:val="fr-FR"/>
        </w:rPr>
        <w:t>4</w:t>
      </w:r>
      <w:r w:rsidR="005A43AC" w:rsidRPr="005A43AC">
        <w:rPr>
          <w:lang w:val="fr-FR"/>
        </w:rPr>
        <w:t>, a déjà établi que le signe précité était dépourvu du caractère distinctif en application de l’</w:t>
      </w:r>
      <w:r w:rsidR="009B5CFC" w:rsidRPr="005A43AC">
        <w:rPr>
          <w:lang w:val="fr-FR"/>
        </w:rPr>
        <w:t>article</w:t>
      </w:r>
      <w:r w:rsidR="009B5CFC">
        <w:rPr>
          <w:lang w:val="fr-FR"/>
        </w:rPr>
        <w:t> </w:t>
      </w:r>
      <w:r w:rsidR="009B5CFC" w:rsidRPr="005A43AC">
        <w:rPr>
          <w:lang w:val="fr-FR"/>
        </w:rPr>
        <w:t>7</w:t>
      </w:r>
      <w:r w:rsidR="005A43AC" w:rsidRPr="005A43AC">
        <w:rPr>
          <w:lang w:val="fr-FR"/>
        </w:rPr>
        <w:t xml:space="preserve">, </w:t>
      </w:r>
      <w:r w:rsidR="009B5CFC" w:rsidRPr="005A43AC">
        <w:rPr>
          <w:lang w:val="fr-FR"/>
        </w:rPr>
        <w:t>paragraphe</w:t>
      </w:r>
      <w:r w:rsidR="009B5CFC">
        <w:rPr>
          <w:lang w:val="fr-FR"/>
        </w:rPr>
        <w:t> </w:t>
      </w:r>
      <w:r w:rsidR="009B5CFC" w:rsidRPr="005A43AC">
        <w:rPr>
          <w:lang w:val="fr-FR"/>
        </w:rPr>
        <w:t>1</w:t>
      </w:r>
      <w:r w:rsidR="005A43AC" w:rsidRPr="005A43AC">
        <w:rPr>
          <w:lang w:val="fr-FR"/>
        </w:rPr>
        <w:t>, point b, du RMUE</w:t>
      </w:r>
      <w:r w:rsidR="00E079C0">
        <w:rPr>
          <w:lang w:val="fr-FR"/>
        </w:rPr>
        <w:t>, l</w:t>
      </w:r>
      <w:r w:rsidRPr="005A43AC">
        <w:rPr>
          <w:lang w:val="fr-FR"/>
        </w:rPr>
        <w:t>a décision se fonde sur les principales conclusions suivantes</w:t>
      </w:r>
      <w:r w:rsidR="00E079C0">
        <w:rPr>
          <w:lang w:val="fr-FR"/>
        </w:rPr>
        <w:t> </w:t>
      </w:r>
      <w:r w:rsidRPr="005A43AC">
        <w:rPr>
          <w:lang w:val="fr-FR"/>
        </w:rPr>
        <w:t>:</w:t>
      </w:r>
    </w:p>
    <w:p w14:paraId="070BF150" w14:textId="77777777" w:rsidR="004A1004" w:rsidRPr="00804AD9" w:rsidRDefault="00090C46" w:rsidP="004A1004">
      <w:pPr>
        <w:pStyle w:val="Bullet2"/>
        <w:rPr>
          <w:lang w:val="fr-FR"/>
        </w:rPr>
      </w:pPr>
      <w:r w:rsidRPr="00090C46">
        <w:rPr>
          <w:lang w:val="fr-FR"/>
        </w:rPr>
        <w:lastRenderedPageBreak/>
        <w:t xml:space="preserve">À </w:t>
      </w:r>
      <w:r w:rsidR="00633083" w:rsidRPr="00090C46">
        <w:rPr>
          <w:lang w:val="fr-FR"/>
        </w:rPr>
        <w:t>l’appui</w:t>
      </w:r>
      <w:r w:rsidR="004A1004" w:rsidRPr="00804AD9">
        <w:rPr>
          <w:lang w:val="fr-FR"/>
        </w:rPr>
        <w:t xml:space="preserve"> de sa revendication, la demanderesse a fourni des preuves d’usage le 22</w:t>
      </w:r>
      <w:r w:rsidR="000A104F">
        <w:rPr>
          <w:lang w:val="fr-FR"/>
        </w:rPr>
        <w:t> mars</w:t>
      </w:r>
      <w:r w:rsidR="00070603">
        <w:rPr>
          <w:lang w:val="fr-FR"/>
        </w:rPr>
        <w:t> </w:t>
      </w:r>
      <w:r w:rsidR="00070603" w:rsidRPr="00804AD9">
        <w:rPr>
          <w:lang w:val="fr-FR"/>
        </w:rPr>
        <w:t>20</w:t>
      </w:r>
      <w:r w:rsidR="00070603">
        <w:rPr>
          <w:lang w:val="fr-FR"/>
        </w:rPr>
        <w:t> </w:t>
      </w:r>
      <w:r w:rsidR="00070603" w:rsidRPr="00804AD9">
        <w:rPr>
          <w:lang w:val="fr-FR"/>
        </w:rPr>
        <w:t>2</w:t>
      </w:r>
      <w:r w:rsidR="00070603">
        <w:rPr>
          <w:lang w:val="fr-FR"/>
        </w:rPr>
        <w:t>3</w:t>
      </w:r>
      <w:r w:rsidR="004A1004" w:rsidRPr="00804AD9">
        <w:rPr>
          <w:lang w:val="fr-FR"/>
        </w:rPr>
        <w:t>.</w:t>
      </w:r>
      <w:r w:rsidR="00804AD9">
        <w:rPr>
          <w:lang w:val="fr-FR"/>
        </w:rPr>
        <w:t xml:space="preserve"> </w:t>
      </w:r>
      <w:r w:rsidR="004A1004" w:rsidRPr="00804AD9">
        <w:rPr>
          <w:lang w:val="fr-FR"/>
        </w:rPr>
        <w:t>Les éléments de preuve à prendre en compte sont, notamment, les documents suivants :</w:t>
      </w:r>
    </w:p>
    <w:p w14:paraId="70355058" w14:textId="77777777" w:rsidR="004A1004" w:rsidRPr="004A1004" w:rsidRDefault="004A1004" w:rsidP="004A1004">
      <w:pPr>
        <w:pStyle w:val="Bullet3"/>
        <w:rPr>
          <w:lang w:val="fr-FR"/>
        </w:rPr>
      </w:pPr>
      <w:r w:rsidRPr="004A1004">
        <w:rPr>
          <w:lang w:val="fr-FR"/>
        </w:rPr>
        <w:t>Des extraits des archives de la demanderesse, non datées en langue française faisant référence à l’historique du monogramme PB et des marques monogrammées de la maison Balmain.</w:t>
      </w:r>
    </w:p>
    <w:p w14:paraId="48582858" w14:textId="77777777" w:rsidR="004A1004" w:rsidRPr="004A1004" w:rsidRDefault="004A1004" w:rsidP="004A1004">
      <w:pPr>
        <w:pStyle w:val="Bullet3"/>
        <w:rPr>
          <w:lang w:val="fr-FR"/>
        </w:rPr>
      </w:pPr>
      <w:r w:rsidRPr="004A1004">
        <w:rPr>
          <w:lang w:val="fr-FR"/>
        </w:rPr>
        <w:t>Une capture d’écran du magasin en ligne de la maison Balmain non daté</w:t>
      </w:r>
      <w:r w:rsidR="00E079C0">
        <w:rPr>
          <w:lang w:val="fr-FR"/>
        </w:rPr>
        <w:t>e</w:t>
      </w:r>
      <w:r w:rsidRPr="004A1004">
        <w:rPr>
          <w:lang w:val="fr-FR"/>
        </w:rPr>
        <w:t xml:space="preserve"> montrant un sac à main sur lequel une variation de la marque en objet est visible.</w:t>
      </w:r>
    </w:p>
    <w:p w14:paraId="791092DB" w14:textId="77777777" w:rsidR="004A1004" w:rsidRPr="004A1004" w:rsidRDefault="004A1004" w:rsidP="004A1004">
      <w:pPr>
        <w:pStyle w:val="Bullet3"/>
        <w:rPr>
          <w:lang w:val="fr-FR"/>
        </w:rPr>
      </w:pPr>
      <w:r w:rsidRPr="004A1004">
        <w:rPr>
          <w:lang w:val="fr-FR"/>
        </w:rPr>
        <w:t>Des extraits des archives de la demanderesse, datées juin 2020 en langue française faisant référence à l’historique du monogramme PB et des marques monogrammées de la maison Balmain.</w:t>
      </w:r>
    </w:p>
    <w:p w14:paraId="0BDEC210" w14:textId="77777777" w:rsidR="004A1004" w:rsidRPr="004A1004" w:rsidRDefault="004A1004" w:rsidP="004A1004">
      <w:pPr>
        <w:pStyle w:val="Bullet3"/>
        <w:rPr>
          <w:lang w:val="fr-FR"/>
        </w:rPr>
      </w:pPr>
      <w:r w:rsidRPr="004A1004">
        <w:rPr>
          <w:lang w:val="fr-FR"/>
        </w:rPr>
        <w:t xml:space="preserve">Un document daté </w:t>
      </w:r>
      <w:r w:rsidR="00E079C0">
        <w:rPr>
          <w:lang w:val="fr-FR"/>
        </w:rPr>
        <w:t xml:space="preserve">de </w:t>
      </w:r>
      <w:r w:rsidRPr="004A1004">
        <w:rPr>
          <w:lang w:val="fr-FR"/>
        </w:rPr>
        <w:t>juillet 1971 en langue française non identifié qui indique divers endroits à travers le monde dans lesquels les collections de Balmain ont été exposées ainsi que l'expansion des magasins résultant de la croissance de l'entreprise.</w:t>
      </w:r>
    </w:p>
    <w:p w14:paraId="7BC7A5DE" w14:textId="77777777" w:rsidR="004A1004" w:rsidRPr="004A1004" w:rsidRDefault="004A1004" w:rsidP="004A1004">
      <w:pPr>
        <w:pStyle w:val="Bullet3"/>
        <w:rPr>
          <w:lang w:val="fr-FR"/>
        </w:rPr>
      </w:pPr>
      <w:r w:rsidRPr="004A1004">
        <w:rPr>
          <w:lang w:val="fr-FR"/>
        </w:rPr>
        <w:t xml:space="preserve">Une invitation à une présentation d’une collection créée par Laurent Mercier en date du </w:t>
      </w:r>
      <w:r w:rsidR="009B5CFC" w:rsidRPr="004A1004">
        <w:rPr>
          <w:lang w:val="fr-FR"/>
        </w:rPr>
        <w:t>10</w:t>
      </w:r>
      <w:r w:rsidR="009B5CFC">
        <w:rPr>
          <w:lang w:val="fr-FR"/>
        </w:rPr>
        <w:t> </w:t>
      </w:r>
      <w:r w:rsidR="009B5CFC" w:rsidRPr="004A1004">
        <w:rPr>
          <w:lang w:val="fr-FR"/>
        </w:rPr>
        <w:t>Mars</w:t>
      </w:r>
      <w:r w:rsidR="009B5CFC">
        <w:rPr>
          <w:lang w:val="fr-FR"/>
        </w:rPr>
        <w:t> </w:t>
      </w:r>
      <w:r w:rsidR="009B5CFC" w:rsidRPr="004A1004">
        <w:rPr>
          <w:lang w:val="fr-FR"/>
        </w:rPr>
        <w:t>2003</w:t>
      </w:r>
      <w:r w:rsidRPr="004A1004">
        <w:rPr>
          <w:lang w:val="fr-FR"/>
        </w:rPr>
        <w:t xml:space="preserve"> à 13h sous forme de brochure qui comprend plusieurs produits Pierre Balmain marqués de façon</w:t>
      </w:r>
      <w:r w:rsidR="00E079C0">
        <w:rPr>
          <w:lang w:val="fr-FR"/>
        </w:rPr>
        <w:t>s</w:t>
      </w:r>
      <w:r w:rsidRPr="004A1004">
        <w:rPr>
          <w:lang w:val="fr-FR"/>
        </w:rPr>
        <w:t xml:space="preserve"> différentes dont un sur lequel une variation de la marque en objet est visible.</w:t>
      </w:r>
    </w:p>
    <w:p w14:paraId="35332F7C" w14:textId="77777777" w:rsidR="004A1004" w:rsidRPr="004A1004" w:rsidRDefault="004A1004" w:rsidP="004A1004">
      <w:pPr>
        <w:pStyle w:val="Bullet3"/>
        <w:rPr>
          <w:lang w:val="fr-FR"/>
        </w:rPr>
      </w:pPr>
      <w:r w:rsidRPr="004A1004">
        <w:rPr>
          <w:lang w:val="fr-FR"/>
        </w:rPr>
        <w:t>Des photos d’un défilé non identifié présentant une collection Automne – Hiver 2003 sur lesquelles on peut deviner le monogramme PB en arrière-plan de l’estrade utilisée pour le catwalk.</w:t>
      </w:r>
    </w:p>
    <w:p w14:paraId="07B168DD" w14:textId="77777777" w:rsidR="004A1004" w:rsidRPr="004A1004" w:rsidRDefault="004A1004" w:rsidP="004A1004">
      <w:pPr>
        <w:pStyle w:val="Bullet3"/>
        <w:rPr>
          <w:lang w:val="fr-FR"/>
        </w:rPr>
      </w:pPr>
      <w:r w:rsidRPr="004A1004">
        <w:rPr>
          <w:lang w:val="fr-FR"/>
        </w:rPr>
        <w:t>Une grande quantité de factures datées</w:t>
      </w:r>
      <w:r w:rsidR="00F02F56">
        <w:rPr>
          <w:lang w:val="fr-FR"/>
        </w:rPr>
        <w:t>,</w:t>
      </w:r>
      <w:r w:rsidRPr="004A1004">
        <w:rPr>
          <w:lang w:val="fr-FR"/>
        </w:rPr>
        <w:t xml:space="preserve"> en langue française</w:t>
      </w:r>
      <w:r w:rsidR="00F02F56">
        <w:rPr>
          <w:lang w:val="fr-FR"/>
        </w:rPr>
        <w:t>,</w:t>
      </w:r>
      <w:r w:rsidRPr="004A1004">
        <w:rPr>
          <w:lang w:val="fr-FR"/>
        </w:rPr>
        <w:t xml:space="preserve"> pour des produits visés par la demande en question</w:t>
      </w:r>
      <w:r w:rsidR="00F02F56">
        <w:rPr>
          <w:lang w:val="fr-FR"/>
        </w:rPr>
        <w:t>,</w:t>
      </w:r>
      <w:r w:rsidRPr="004A1004">
        <w:rPr>
          <w:lang w:val="fr-FR"/>
        </w:rPr>
        <w:t xml:space="preserve"> commercialisés en France ou Tunisie sur lesquelles le monogramme PB et le nom Pierre Balmain mais non pas la marque en objet sont visibles.</w:t>
      </w:r>
    </w:p>
    <w:p w14:paraId="3C109E55" w14:textId="77777777" w:rsidR="004A1004" w:rsidRPr="004A1004" w:rsidRDefault="004A1004" w:rsidP="004A1004">
      <w:pPr>
        <w:pStyle w:val="Bullet3"/>
        <w:rPr>
          <w:lang w:val="fr-FR"/>
        </w:rPr>
      </w:pPr>
      <w:r w:rsidRPr="004A1004">
        <w:rPr>
          <w:lang w:val="fr-FR"/>
        </w:rPr>
        <w:t xml:space="preserve">Des exemples non datés en langue française, allemande et anglaise provenant de magasins en ligne proposant </w:t>
      </w:r>
      <w:r w:rsidR="00090C46" w:rsidRPr="004A1004">
        <w:rPr>
          <w:lang w:val="fr-FR"/>
        </w:rPr>
        <w:t>des articles vintages</w:t>
      </w:r>
      <w:r w:rsidRPr="004A1004">
        <w:rPr>
          <w:lang w:val="fr-FR"/>
        </w:rPr>
        <w:t xml:space="preserve"> de maroquinerie et de petite maroquinerie comportant le monogrammes PB ou la marque Pierre Balmain sous diverses formes.</w:t>
      </w:r>
    </w:p>
    <w:p w14:paraId="6496F79F" w14:textId="77777777" w:rsidR="004A1004" w:rsidRPr="004A1004" w:rsidRDefault="004A1004" w:rsidP="004A1004">
      <w:pPr>
        <w:pStyle w:val="Bullet3"/>
        <w:rPr>
          <w:lang w:val="fr-FR"/>
        </w:rPr>
      </w:pPr>
      <w:r w:rsidRPr="004A1004">
        <w:rPr>
          <w:lang w:val="fr-FR"/>
        </w:rPr>
        <w:t>Coupures de presse datées provenant des magazines «</w:t>
      </w:r>
      <w:r w:rsidR="00F02F56">
        <w:rPr>
          <w:lang w:val="fr-FR"/>
        </w:rPr>
        <w:t> </w:t>
      </w:r>
      <w:r w:rsidRPr="004A1004">
        <w:rPr>
          <w:lang w:val="fr-FR"/>
        </w:rPr>
        <w:t>VOGUE</w:t>
      </w:r>
      <w:r w:rsidR="00F02F56">
        <w:rPr>
          <w:lang w:val="fr-FR"/>
        </w:rPr>
        <w:t> </w:t>
      </w:r>
      <w:r w:rsidRPr="004A1004">
        <w:rPr>
          <w:lang w:val="fr-FR"/>
        </w:rPr>
        <w:t>» et «</w:t>
      </w:r>
      <w:r w:rsidR="00F02F56">
        <w:rPr>
          <w:lang w:val="fr-FR"/>
        </w:rPr>
        <w:t> </w:t>
      </w:r>
      <w:r w:rsidRPr="004A1004">
        <w:rPr>
          <w:lang w:val="fr-FR"/>
        </w:rPr>
        <w:t>ELLE</w:t>
      </w:r>
      <w:r w:rsidR="00F02F56">
        <w:rPr>
          <w:lang w:val="fr-FR"/>
        </w:rPr>
        <w:t> </w:t>
      </w:r>
      <w:r w:rsidRPr="004A1004">
        <w:rPr>
          <w:lang w:val="fr-FR"/>
        </w:rPr>
        <w:t>» en langue française</w:t>
      </w:r>
      <w:r w:rsidR="00F02F56">
        <w:rPr>
          <w:lang w:val="fr-FR"/>
        </w:rPr>
        <w:t>,</w:t>
      </w:r>
      <w:r w:rsidRPr="004A1004">
        <w:rPr>
          <w:lang w:val="fr-FR"/>
        </w:rPr>
        <w:t xml:space="preserve"> dans lesquelles des publicités comportant le monogramme PB et le nom Pierre Balmain mais non pas la marque en objet sont visibles.</w:t>
      </w:r>
    </w:p>
    <w:p w14:paraId="0EA67950" w14:textId="77777777" w:rsidR="004A1004" w:rsidRPr="004A1004" w:rsidRDefault="004A1004" w:rsidP="004A1004">
      <w:pPr>
        <w:pStyle w:val="Bullet3"/>
        <w:rPr>
          <w:lang w:val="fr-FR"/>
        </w:rPr>
      </w:pPr>
      <w:r w:rsidRPr="004A1004">
        <w:rPr>
          <w:lang w:val="fr-FR"/>
        </w:rPr>
        <w:t xml:space="preserve">Une grande quantité de photos </w:t>
      </w:r>
      <w:r w:rsidR="00F02F56">
        <w:rPr>
          <w:lang w:val="fr-FR"/>
        </w:rPr>
        <w:t>ni</w:t>
      </w:r>
      <w:r w:rsidR="00F02F56" w:rsidRPr="004A1004">
        <w:rPr>
          <w:lang w:val="fr-FR"/>
        </w:rPr>
        <w:t xml:space="preserve"> </w:t>
      </w:r>
      <w:r w:rsidRPr="004A1004">
        <w:rPr>
          <w:lang w:val="fr-FR"/>
        </w:rPr>
        <w:t>datées ni identifiées de produits visés par la demande en question sur certain</w:t>
      </w:r>
      <w:r w:rsidR="00F02F56">
        <w:rPr>
          <w:lang w:val="fr-FR"/>
        </w:rPr>
        <w:t>es</w:t>
      </w:r>
      <w:r w:rsidRPr="004A1004">
        <w:rPr>
          <w:lang w:val="fr-FR"/>
        </w:rPr>
        <w:t xml:space="preserve"> desquels des variations de la marque en objet sont visibles.</w:t>
      </w:r>
    </w:p>
    <w:p w14:paraId="2388B0C8" w14:textId="77777777" w:rsidR="004A1004" w:rsidRPr="004A1004" w:rsidRDefault="004A1004" w:rsidP="004A1004">
      <w:pPr>
        <w:pStyle w:val="Bullet3"/>
        <w:rPr>
          <w:lang w:val="fr-FR"/>
        </w:rPr>
      </w:pPr>
      <w:r w:rsidRPr="004A1004">
        <w:rPr>
          <w:lang w:val="fr-FR"/>
        </w:rPr>
        <w:t xml:space="preserve">Des exemples datés en langue française provenant du magasin en ligne Vestiaire Collective proposant des articles vintage de maroquinerie et de petite maroquinerie comportant le monogrammes PB ou la marque Pierre Balmain </w:t>
      </w:r>
      <w:r w:rsidRPr="004A1004">
        <w:rPr>
          <w:lang w:val="fr-FR"/>
        </w:rPr>
        <w:lastRenderedPageBreak/>
        <w:t>sous diverses formes sur certain</w:t>
      </w:r>
      <w:r w:rsidR="00F02F56">
        <w:rPr>
          <w:lang w:val="fr-FR"/>
        </w:rPr>
        <w:t>s</w:t>
      </w:r>
      <w:r w:rsidRPr="004A1004">
        <w:rPr>
          <w:lang w:val="fr-FR"/>
        </w:rPr>
        <w:t xml:space="preserve"> desquels des variations de la marque en objet sont visibles.</w:t>
      </w:r>
    </w:p>
    <w:p w14:paraId="4DF29D68" w14:textId="77777777" w:rsidR="004A1004" w:rsidRPr="004A1004" w:rsidRDefault="004A1004" w:rsidP="004A1004">
      <w:pPr>
        <w:pStyle w:val="Bullet3"/>
        <w:rPr>
          <w:lang w:val="fr-FR"/>
        </w:rPr>
      </w:pPr>
      <w:r w:rsidRPr="004A1004">
        <w:rPr>
          <w:lang w:val="fr-FR"/>
        </w:rPr>
        <w:t>Des captures d’écrans de la page Instagram de la demanderesse non datée</w:t>
      </w:r>
      <w:r w:rsidR="00F02F56">
        <w:rPr>
          <w:lang w:val="fr-FR"/>
        </w:rPr>
        <w:t>s</w:t>
      </w:r>
      <w:r w:rsidRPr="004A1004">
        <w:rPr>
          <w:lang w:val="fr-FR"/>
        </w:rPr>
        <w:t xml:space="preserve"> qui montrent de</w:t>
      </w:r>
      <w:r w:rsidR="00F02F56">
        <w:rPr>
          <w:lang w:val="fr-FR"/>
        </w:rPr>
        <w:t>s</w:t>
      </w:r>
      <w:r w:rsidRPr="004A1004">
        <w:rPr>
          <w:lang w:val="fr-FR"/>
        </w:rPr>
        <w:t xml:space="preserve"> produits visés par la demande en question sur certain</w:t>
      </w:r>
      <w:r w:rsidR="00F02F56">
        <w:rPr>
          <w:lang w:val="fr-FR"/>
        </w:rPr>
        <w:t>s</w:t>
      </w:r>
      <w:r w:rsidRPr="004A1004">
        <w:rPr>
          <w:lang w:val="fr-FR"/>
        </w:rPr>
        <w:t xml:space="preserve"> desquels des variations de la marque en objet sont visibles.</w:t>
      </w:r>
    </w:p>
    <w:p w14:paraId="6F8D73D3" w14:textId="77777777" w:rsidR="004A1004" w:rsidRPr="004A1004" w:rsidRDefault="004A1004" w:rsidP="004A1004">
      <w:pPr>
        <w:pStyle w:val="Bullet3"/>
        <w:rPr>
          <w:lang w:val="fr-FR"/>
        </w:rPr>
      </w:pPr>
      <w:r w:rsidRPr="004A1004">
        <w:rPr>
          <w:lang w:val="fr-FR"/>
        </w:rPr>
        <w:t>Une coupure de presse du magazine «</w:t>
      </w:r>
      <w:r w:rsidR="00F02F56">
        <w:rPr>
          <w:lang w:val="fr-FR"/>
        </w:rPr>
        <w:t> </w:t>
      </w:r>
      <w:r w:rsidRPr="004A1004">
        <w:rPr>
          <w:lang w:val="fr-FR"/>
        </w:rPr>
        <w:t>Vogue</w:t>
      </w:r>
      <w:r w:rsidR="00F02F56">
        <w:rPr>
          <w:lang w:val="fr-FR"/>
        </w:rPr>
        <w:t> </w:t>
      </w:r>
      <w:r w:rsidRPr="004A1004">
        <w:rPr>
          <w:lang w:val="fr-FR"/>
        </w:rPr>
        <w:t>» datée 24</w:t>
      </w:r>
      <w:r w:rsidR="00F02F56">
        <w:rPr>
          <w:lang w:val="fr-FR"/>
        </w:rPr>
        <w:t> septembre </w:t>
      </w:r>
      <w:r w:rsidRPr="004A1004">
        <w:rPr>
          <w:lang w:val="fr-FR"/>
        </w:rPr>
        <w:t>2020 en langue française dans lequel le directeur artistique de la maison Balmain de l'époque donne une interview, on y trouve des photos de certains des produits visés par la demande en question sur certain desquels des variations de la marque en objet sont visibles.</w:t>
      </w:r>
    </w:p>
    <w:p w14:paraId="20A145B6" w14:textId="77777777" w:rsidR="004A1004" w:rsidRPr="004A1004" w:rsidRDefault="004A1004" w:rsidP="004A1004">
      <w:pPr>
        <w:pStyle w:val="Titre2"/>
        <w:rPr>
          <w:lang w:val="fr-FR"/>
        </w:rPr>
      </w:pPr>
      <w:r w:rsidRPr="004A1004">
        <w:rPr>
          <w:lang w:val="fr-FR"/>
        </w:rPr>
        <w:t>Appréciation des éléments de preuve</w:t>
      </w:r>
    </w:p>
    <w:p w14:paraId="65FC2BB6" w14:textId="77777777" w:rsidR="004A1004" w:rsidRPr="004A1004" w:rsidRDefault="00804AD9" w:rsidP="004A1004">
      <w:pPr>
        <w:pStyle w:val="Bullet2"/>
        <w:rPr>
          <w:lang w:val="fr-FR"/>
        </w:rPr>
      </w:pPr>
      <w:r>
        <w:rPr>
          <w:lang w:val="fr-FR"/>
        </w:rPr>
        <w:t>L</w:t>
      </w:r>
      <w:r w:rsidR="004A1004" w:rsidRPr="004A1004">
        <w:rPr>
          <w:lang w:val="fr-FR"/>
        </w:rPr>
        <w:t>es preuves présentées ne permettent pas de prouver que la marque a été utilisée sur le territoire concerné.</w:t>
      </w:r>
    </w:p>
    <w:p w14:paraId="1625C1BB" w14:textId="77777777" w:rsidR="004A1004" w:rsidRPr="004A1004" w:rsidRDefault="00804AD9" w:rsidP="004A1004">
      <w:pPr>
        <w:pStyle w:val="Bullet2"/>
        <w:rPr>
          <w:lang w:val="fr-FR"/>
        </w:rPr>
      </w:pPr>
      <w:r w:rsidRPr="00804AD9">
        <w:rPr>
          <w:lang w:val="fr-FR"/>
        </w:rPr>
        <w:t xml:space="preserve">Premièrement, </w:t>
      </w:r>
      <w:r>
        <w:rPr>
          <w:lang w:val="fr-FR"/>
        </w:rPr>
        <w:t>l</w:t>
      </w:r>
      <w:r w:rsidR="004A1004" w:rsidRPr="004A1004">
        <w:rPr>
          <w:lang w:val="fr-FR"/>
        </w:rPr>
        <w:t>a marque dont l’enregistrement est demandé est dépourvue de caractère distinctif intrinsèque pour les consommateurs de l’Union Européenne. Par conséquent, elle est dépourvue de caractère distinctif dans l’ensemble de l’Union Européenne. Les éléments de preuve présentés par la demanderesse démontrent surtout un usage en langue française qui ne peut donc pas être pris en compte pour tous les territoires de l’Union Européenne o</w:t>
      </w:r>
      <w:r w:rsidR="00F02F56">
        <w:rPr>
          <w:lang w:val="fr-FR"/>
        </w:rPr>
        <w:t>ù</w:t>
      </w:r>
      <w:r w:rsidR="004A1004" w:rsidRPr="004A1004">
        <w:rPr>
          <w:lang w:val="fr-FR"/>
        </w:rPr>
        <w:t xml:space="preserve"> la langue française n’est pas utilisée par les consommateurs.</w:t>
      </w:r>
    </w:p>
    <w:p w14:paraId="4185E9E4" w14:textId="77777777" w:rsidR="004A1004" w:rsidRPr="004A1004" w:rsidRDefault="004A1004" w:rsidP="004A1004">
      <w:pPr>
        <w:pStyle w:val="Bullet2"/>
        <w:rPr>
          <w:lang w:val="fr-FR"/>
        </w:rPr>
      </w:pPr>
      <w:r w:rsidRPr="004A1004">
        <w:rPr>
          <w:lang w:val="fr-FR"/>
        </w:rPr>
        <w:t>Les preuves apportées en langue française proviennent de sites internet. Ces sites sont accessibles internationalement, il est donc difficile de déterminer d’où viennent les personnes qui les consultent et donc de déterminer le territoire de l’usage.</w:t>
      </w:r>
    </w:p>
    <w:p w14:paraId="496AAA31" w14:textId="77777777" w:rsidR="004A1004" w:rsidRPr="00804AD9" w:rsidRDefault="004A1004" w:rsidP="004A1004">
      <w:pPr>
        <w:pStyle w:val="Bullet2"/>
        <w:rPr>
          <w:lang w:val="fr-FR"/>
        </w:rPr>
      </w:pPr>
      <w:r w:rsidRPr="00804AD9">
        <w:rPr>
          <w:lang w:val="fr-FR"/>
        </w:rPr>
        <w:t>Les preuves fournies de l’usage de la marque sont insuffisantes pour prouver qu’une partie suffisamment significative du public pertinent de l’Union Européenne serait en mesure, en vertu de ladite marque, d’identifier les produits concernés comme provenant d’une entreprise déterminée.</w:t>
      </w:r>
    </w:p>
    <w:p w14:paraId="1C0FF5E4" w14:textId="77777777" w:rsidR="004A1004" w:rsidRPr="004A1004" w:rsidRDefault="00804AD9" w:rsidP="004A1004">
      <w:pPr>
        <w:pStyle w:val="Bullet2"/>
        <w:rPr>
          <w:lang w:val="fr-FR"/>
        </w:rPr>
      </w:pPr>
      <w:r w:rsidRPr="00804AD9">
        <w:rPr>
          <w:lang w:val="fr-FR"/>
        </w:rPr>
        <w:t xml:space="preserve">Deuxièmement, </w:t>
      </w:r>
      <w:r>
        <w:rPr>
          <w:lang w:val="fr-FR"/>
        </w:rPr>
        <w:t>l</w:t>
      </w:r>
      <w:r w:rsidR="004A1004" w:rsidRPr="004A1004">
        <w:rPr>
          <w:lang w:val="fr-FR"/>
        </w:rPr>
        <w:t>es preuves apportées par la demanderesse consistent en des articles de presse, des captures d’écran des archives de la demanderesse, de catalogues de présentation, et de captures d’écrans de réseaux sociaux qui ne sont pas considérés en tant qu’éléments de preuves directes.</w:t>
      </w:r>
    </w:p>
    <w:p w14:paraId="2B58E85F" w14:textId="77777777" w:rsidR="004A1004" w:rsidRPr="004A1004" w:rsidRDefault="004A1004" w:rsidP="004A1004">
      <w:pPr>
        <w:pStyle w:val="Bullet2"/>
        <w:rPr>
          <w:lang w:val="fr-FR"/>
        </w:rPr>
      </w:pPr>
      <w:r w:rsidRPr="004A1004">
        <w:rPr>
          <w:lang w:val="fr-FR"/>
        </w:rPr>
        <w:t xml:space="preserve">Ces preuves ne permettent </w:t>
      </w:r>
      <w:r w:rsidR="00DB74DB">
        <w:rPr>
          <w:lang w:val="fr-FR"/>
        </w:rPr>
        <w:t xml:space="preserve">pas </w:t>
      </w:r>
      <w:r w:rsidRPr="004A1004">
        <w:rPr>
          <w:lang w:val="fr-FR"/>
        </w:rPr>
        <w:t>d’établir si une partie importante du public pertinent est capable, en raison de cette marque, d’identifier les produits ou services concernés comme provenant d’une entreprise en particulier. Elles n’établissent ni la part de marché détenue par la marque, ni l’intensité, ni la fréquence d’utilisation de la marque.</w:t>
      </w:r>
    </w:p>
    <w:p w14:paraId="0CD7555D" w14:textId="77777777" w:rsidR="004A1004" w:rsidRPr="00804AD9" w:rsidRDefault="004A1004" w:rsidP="004A1004">
      <w:pPr>
        <w:pStyle w:val="Bullet2"/>
        <w:rPr>
          <w:lang w:val="fr-FR"/>
        </w:rPr>
      </w:pPr>
      <w:r w:rsidRPr="00804AD9">
        <w:rPr>
          <w:lang w:val="fr-FR"/>
        </w:rPr>
        <w:t>Troisièmement, tous les éléments de preuve présentés par la demanderesse font référence à des marques qui comportent des différences par rapport à la marque dont l’enregistrement est demandé. En particulier, les marques représentées dans l</w:t>
      </w:r>
      <w:r w:rsidR="00A8055A">
        <w:rPr>
          <w:lang w:val="fr-FR"/>
        </w:rPr>
        <w:t>eur</w:t>
      </w:r>
      <w:r w:rsidRPr="00804AD9">
        <w:rPr>
          <w:lang w:val="fr-FR"/>
        </w:rPr>
        <w:t xml:space="preserve"> grande majorité </w:t>
      </w:r>
      <w:r w:rsidR="00DB74DB" w:rsidRPr="00804AD9">
        <w:rPr>
          <w:lang w:val="fr-FR"/>
        </w:rPr>
        <w:t>apport</w:t>
      </w:r>
      <w:r w:rsidR="00DB74DB">
        <w:rPr>
          <w:lang w:val="fr-FR"/>
        </w:rPr>
        <w:t>ent</w:t>
      </w:r>
      <w:r w:rsidR="00DB74DB" w:rsidRPr="00804AD9">
        <w:rPr>
          <w:lang w:val="fr-FR"/>
        </w:rPr>
        <w:t xml:space="preserve"> </w:t>
      </w:r>
      <w:r w:rsidRPr="00804AD9">
        <w:rPr>
          <w:lang w:val="fr-FR"/>
        </w:rPr>
        <w:t>des éléments de preuves comport</w:t>
      </w:r>
      <w:r w:rsidR="00DB74DB">
        <w:rPr>
          <w:lang w:val="fr-FR"/>
        </w:rPr>
        <w:t>a</w:t>
      </w:r>
      <w:r w:rsidRPr="00804AD9">
        <w:rPr>
          <w:lang w:val="fr-FR"/>
        </w:rPr>
        <w:t>nt le monogramme «</w:t>
      </w:r>
      <w:r w:rsidR="0083390E" w:rsidRPr="00804AD9">
        <w:rPr>
          <w:lang w:val="fr-FR"/>
        </w:rPr>
        <w:t> </w:t>
      </w:r>
      <w:r w:rsidRPr="00804AD9">
        <w:rPr>
          <w:lang w:val="fr-FR"/>
        </w:rPr>
        <w:t>PB</w:t>
      </w:r>
      <w:r w:rsidR="0083390E" w:rsidRPr="00804AD9">
        <w:rPr>
          <w:lang w:val="fr-FR"/>
        </w:rPr>
        <w:t> </w:t>
      </w:r>
      <w:r w:rsidRPr="00804AD9">
        <w:rPr>
          <w:lang w:val="fr-FR"/>
        </w:rPr>
        <w:t>» ou les mots «</w:t>
      </w:r>
      <w:r w:rsidR="0083390E" w:rsidRPr="00804AD9">
        <w:rPr>
          <w:lang w:val="fr-FR"/>
        </w:rPr>
        <w:t> </w:t>
      </w:r>
      <w:r w:rsidRPr="00804AD9">
        <w:rPr>
          <w:lang w:val="fr-FR"/>
        </w:rPr>
        <w:t>Pierre Balmain</w:t>
      </w:r>
      <w:r w:rsidR="0083390E" w:rsidRPr="00804AD9">
        <w:rPr>
          <w:lang w:val="fr-FR"/>
        </w:rPr>
        <w:t> </w:t>
      </w:r>
      <w:r w:rsidRPr="00804AD9">
        <w:rPr>
          <w:lang w:val="fr-FR"/>
        </w:rPr>
        <w:t xml:space="preserve">». La </w:t>
      </w:r>
      <w:r w:rsidR="0083390E" w:rsidRPr="00804AD9">
        <w:rPr>
          <w:lang w:val="fr-FR"/>
        </w:rPr>
        <w:t>présence</w:t>
      </w:r>
      <w:r w:rsidRPr="00804AD9">
        <w:rPr>
          <w:lang w:val="fr-FR"/>
        </w:rPr>
        <w:t xml:space="preserve"> du monogramme plutôt que sa </w:t>
      </w:r>
      <w:r w:rsidR="0083390E" w:rsidRPr="00804AD9">
        <w:rPr>
          <w:lang w:val="fr-FR"/>
        </w:rPr>
        <w:lastRenderedPageBreak/>
        <w:t>répétition</w:t>
      </w:r>
      <w:r w:rsidRPr="00804AD9">
        <w:rPr>
          <w:lang w:val="fr-FR"/>
        </w:rPr>
        <w:t xml:space="preserve"> ou les mots «</w:t>
      </w:r>
      <w:r w:rsidR="0083390E" w:rsidRPr="00804AD9">
        <w:rPr>
          <w:lang w:val="fr-FR"/>
        </w:rPr>
        <w:t> </w:t>
      </w:r>
      <w:r w:rsidRPr="00804AD9">
        <w:rPr>
          <w:lang w:val="fr-FR"/>
        </w:rPr>
        <w:t>Pierre Balmain</w:t>
      </w:r>
      <w:r w:rsidR="0083390E" w:rsidRPr="00804AD9">
        <w:rPr>
          <w:lang w:val="fr-FR"/>
        </w:rPr>
        <w:t> </w:t>
      </w:r>
      <w:r w:rsidRPr="00804AD9">
        <w:rPr>
          <w:lang w:val="fr-FR"/>
        </w:rPr>
        <w:t xml:space="preserve">» modifient clairement la perception du signe que peut en avoir le public. L’Office considère que ces différences ne sont pas des variations insignifiantes. Pour les cas qui pourraient être considérés comme des variations du signe demandé, ces variations ne peuvent pas être considérées comme insignifiantes et ne font pas partie de preuves qui </w:t>
      </w:r>
      <w:r w:rsidR="00F02F56">
        <w:rPr>
          <w:lang w:val="fr-FR"/>
        </w:rPr>
        <w:t>peuvent</w:t>
      </w:r>
      <w:r w:rsidR="00F02F56" w:rsidRPr="00804AD9">
        <w:rPr>
          <w:lang w:val="fr-FR"/>
        </w:rPr>
        <w:t xml:space="preserve"> </w:t>
      </w:r>
      <w:r w:rsidRPr="00804AD9">
        <w:rPr>
          <w:lang w:val="fr-FR"/>
        </w:rPr>
        <w:t>être considérées comme directes.</w:t>
      </w:r>
    </w:p>
    <w:p w14:paraId="3BF283E3" w14:textId="77777777" w:rsidR="00CE4E97" w:rsidRPr="000F4CEC" w:rsidRDefault="004A1004" w:rsidP="004A1004">
      <w:pPr>
        <w:pStyle w:val="Bullet2"/>
        <w:rPr>
          <w:lang w:val="fr-FR"/>
        </w:rPr>
      </w:pPr>
      <w:r w:rsidRPr="000F4CEC">
        <w:rPr>
          <w:lang w:val="fr-FR"/>
        </w:rPr>
        <w:t>Par conséquent, la demanderesse n’a pas pu démontrer qu’à tout le moins, une partie significative du public pertinent en est arrivée, en raison de l’usage qui en a été fait sur le marché, à voir la marque telle que demandée comme identifiant les produits et services comme provenant d’une entreprise déterminée.</w:t>
      </w:r>
    </w:p>
    <w:p w14:paraId="61BA70A8" w14:textId="77777777" w:rsidR="005A43AC" w:rsidRPr="008F109C" w:rsidRDefault="00C67FE1" w:rsidP="005A43AC">
      <w:pPr>
        <w:pStyle w:val="Numbered1"/>
        <w:rPr>
          <w:lang w:val="fr-FR"/>
        </w:rPr>
      </w:pPr>
      <w:r>
        <w:rPr>
          <w:lang w:val="fr-FR"/>
        </w:rPr>
        <w:t>L</w:t>
      </w:r>
      <w:r w:rsidR="00633083" w:rsidRPr="005A43AC">
        <w:rPr>
          <w:lang w:val="fr-FR"/>
        </w:rPr>
        <w:t>e 15</w:t>
      </w:r>
      <w:r w:rsidR="003B5CF4" w:rsidRPr="005A43AC">
        <w:rPr>
          <w:lang w:val="fr-FR"/>
        </w:rPr>
        <w:t> janvier </w:t>
      </w:r>
      <w:r w:rsidR="00633083" w:rsidRPr="005A43AC">
        <w:rPr>
          <w:lang w:val="fr-FR"/>
        </w:rPr>
        <w:t xml:space="preserve">2025, la </w:t>
      </w:r>
      <w:r w:rsidR="001740D3">
        <w:rPr>
          <w:lang w:val="fr-FR"/>
        </w:rPr>
        <w:t>demanderesse</w:t>
      </w:r>
      <w:r w:rsidR="00633083" w:rsidRPr="005A43AC">
        <w:rPr>
          <w:lang w:val="fr-FR"/>
        </w:rPr>
        <w:t xml:space="preserve"> a formé un recours à l'encontre de la décision attaquée dans sa totalité</w:t>
      </w:r>
      <w:r w:rsidR="005A43AC" w:rsidRPr="005A43AC">
        <w:rPr>
          <w:lang w:val="fr-FR"/>
        </w:rPr>
        <w:t>.</w:t>
      </w:r>
    </w:p>
    <w:p w14:paraId="4880CB07" w14:textId="77777777" w:rsidR="00CE4E97" w:rsidRPr="005A43AC" w:rsidRDefault="00633083" w:rsidP="005A43AC">
      <w:pPr>
        <w:pStyle w:val="Numbered1"/>
        <w:rPr>
          <w:lang w:val="fr-FR"/>
        </w:rPr>
      </w:pPr>
      <w:r w:rsidRPr="00804AD9">
        <w:rPr>
          <w:lang w:val="fr-FR"/>
        </w:rPr>
        <w:t>Le mémoire exp</w:t>
      </w:r>
      <w:r w:rsidRPr="005A43AC">
        <w:rPr>
          <w:color w:val="000000"/>
          <w:lang w:val="fr-FR"/>
        </w:rPr>
        <w:t>osant les motifs du recours a été reçu le 18</w:t>
      </w:r>
      <w:r w:rsidR="003B5CF4" w:rsidRPr="005A43AC">
        <w:rPr>
          <w:color w:val="000000"/>
          <w:lang w:val="fr-FR"/>
        </w:rPr>
        <w:t> mars </w:t>
      </w:r>
      <w:r w:rsidRPr="005A43AC">
        <w:rPr>
          <w:color w:val="000000"/>
          <w:lang w:val="fr-FR"/>
        </w:rPr>
        <w:t>2025.</w:t>
      </w:r>
    </w:p>
    <w:p w14:paraId="0FF997E6" w14:textId="77777777" w:rsidR="00CE4E97" w:rsidRDefault="00633083" w:rsidP="005A43AC">
      <w:pPr>
        <w:pStyle w:val="Titre1"/>
      </w:pPr>
      <w:r>
        <w:t xml:space="preserve">Moyens du </w:t>
      </w:r>
      <w:proofErr w:type="spellStart"/>
      <w:r>
        <w:t>recours</w:t>
      </w:r>
      <w:proofErr w:type="spellEnd"/>
    </w:p>
    <w:p w14:paraId="7545098D" w14:textId="77777777" w:rsidR="00CE4E97" w:rsidRPr="002F7E0E" w:rsidRDefault="00633083" w:rsidP="005A43AC">
      <w:pPr>
        <w:pStyle w:val="Numbered1"/>
        <w:rPr>
          <w:lang w:val="fr-FR"/>
        </w:rPr>
      </w:pPr>
      <w:r w:rsidRPr="002F7E0E">
        <w:rPr>
          <w:lang w:val="fr-FR"/>
        </w:rPr>
        <w:t xml:space="preserve">Les arguments </w:t>
      </w:r>
      <w:r w:rsidR="005A43AC" w:rsidRPr="002F7E0E">
        <w:rPr>
          <w:lang w:val="fr-FR"/>
        </w:rPr>
        <w:t>développés</w:t>
      </w:r>
      <w:r w:rsidRPr="002F7E0E">
        <w:rPr>
          <w:lang w:val="fr-FR"/>
        </w:rPr>
        <w:t xml:space="preserve"> dans le mémoire peuvent être résumés comme suit</w:t>
      </w:r>
      <w:r w:rsidR="00F02F56">
        <w:rPr>
          <w:lang w:val="fr-FR"/>
        </w:rPr>
        <w:t> </w:t>
      </w:r>
      <w:r w:rsidRPr="002F7E0E">
        <w:rPr>
          <w:lang w:val="fr-FR"/>
        </w:rPr>
        <w:t>:</w:t>
      </w:r>
    </w:p>
    <w:p w14:paraId="748C4C7F" w14:textId="77777777" w:rsidR="00C67FE1" w:rsidRPr="00C67FE1" w:rsidRDefault="000F4CEC" w:rsidP="00C67FE1">
      <w:pPr>
        <w:pStyle w:val="Bullet2"/>
        <w:rPr>
          <w:lang w:val="fr-FR"/>
        </w:rPr>
      </w:pPr>
      <w:r w:rsidRPr="00C67FE1">
        <w:rPr>
          <w:lang w:val="fr-FR"/>
        </w:rPr>
        <w:t>Les informations contenues</w:t>
      </w:r>
      <w:r w:rsidR="00C67FE1" w:rsidRPr="00C67FE1">
        <w:rPr>
          <w:lang w:val="fr-FR"/>
        </w:rPr>
        <w:t xml:space="preserve"> dans </w:t>
      </w:r>
      <w:r>
        <w:rPr>
          <w:lang w:val="fr-FR"/>
        </w:rPr>
        <w:t>l’</w:t>
      </w:r>
      <w:r w:rsidR="00C67FE1" w:rsidRPr="00C67FE1">
        <w:rPr>
          <w:lang w:val="fr-FR"/>
        </w:rPr>
        <w:t xml:space="preserve">écrit du </w:t>
      </w:r>
      <w:r w:rsidR="009B5CFC" w:rsidRPr="00C67FE1">
        <w:rPr>
          <w:lang w:val="fr-FR"/>
        </w:rPr>
        <w:t>22</w:t>
      </w:r>
      <w:r w:rsidR="009B5CFC">
        <w:rPr>
          <w:lang w:val="fr-FR"/>
        </w:rPr>
        <w:t> </w:t>
      </w:r>
      <w:r w:rsidR="009B5CFC" w:rsidRPr="00C67FE1">
        <w:rPr>
          <w:lang w:val="fr-FR"/>
        </w:rPr>
        <w:t>mars</w:t>
      </w:r>
      <w:r w:rsidR="009B5CFC">
        <w:rPr>
          <w:lang w:val="fr-FR"/>
        </w:rPr>
        <w:t> </w:t>
      </w:r>
      <w:r w:rsidR="009B5CFC" w:rsidRPr="00C67FE1">
        <w:rPr>
          <w:lang w:val="fr-FR"/>
        </w:rPr>
        <w:t>2023</w:t>
      </w:r>
      <w:r w:rsidR="00C67FE1" w:rsidRPr="00C67FE1">
        <w:rPr>
          <w:lang w:val="fr-FR"/>
        </w:rPr>
        <w:t>, ainsi que les documents ajout</w:t>
      </w:r>
      <w:r w:rsidR="00F02F56">
        <w:rPr>
          <w:lang w:val="fr-FR"/>
        </w:rPr>
        <w:t>é</w:t>
      </w:r>
      <w:r w:rsidR="00C67FE1" w:rsidRPr="00C67FE1">
        <w:rPr>
          <w:lang w:val="fr-FR"/>
        </w:rPr>
        <w:t>s au dit écrit comme annexe 3, prouvent le caractère distinctif de la marque acquis par l’usage</w:t>
      </w:r>
      <w:r>
        <w:rPr>
          <w:lang w:val="fr-FR"/>
        </w:rPr>
        <w:t>.</w:t>
      </w:r>
    </w:p>
    <w:p w14:paraId="455FA217" w14:textId="77777777" w:rsidR="00C67FE1" w:rsidRPr="00C67FE1" w:rsidRDefault="000F4CEC" w:rsidP="00C67FE1">
      <w:pPr>
        <w:pStyle w:val="Bullet2"/>
        <w:rPr>
          <w:lang w:val="fr-FR"/>
        </w:rPr>
      </w:pPr>
      <w:r>
        <w:rPr>
          <w:lang w:val="fr-FR"/>
        </w:rPr>
        <w:t>L’</w:t>
      </w:r>
      <w:r w:rsidR="00C67FE1" w:rsidRPr="00C67FE1">
        <w:rPr>
          <w:lang w:val="fr-FR"/>
        </w:rPr>
        <w:t xml:space="preserve">écrit du </w:t>
      </w:r>
      <w:r w:rsidR="009B5CFC" w:rsidRPr="00C67FE1">
        <w:rPr>
          <w:lang w:val="fr-FR"/>
        </w:rPr>
        <w:t>22</w:t>
      </w:r>
      <w:r w:rsidR="009B5CFC">
        <w:rPr>
          <w:lang w:val="fr-FR"/>
        </w:rPr>
        <w:t> </w:t>
      </w:r>
      <w:r w:rsidR="009B5CFC" w:rsidRPr="00C67FE1">
        <w:rPr>
          <w:lang w:val="fr-FR"/>
        </w:rPr>
        <w:t>mars</w:t>
      </w:r>
      <w:r w:rsidR="009B5CFC">
        <w:rPr>
          <w:lang w:val="fr-FR"/>
        </w:rPr>
        <w:t> </w:t>
      </w:r>
      <w:r w:rsidR="009B5CFC" w:rsidRPr="00C67FE1">
        <w:rPr>
          <w:lang w:val="fr-FR"/>
        </w:rPr>
        <w:t>2023</w:t>
      </w:r>
      <w:r w:rsidR="00C67FE1" w:rsidRPr="00C67FE1">
        <w:rPr>
          <w:lang w:val="fr-FR"/>
        </w:rPr>
        <w:t xml:space="preserve"> montre que :</w:t>
      </w:r>
    </w:p>
    <w:p w14:paraId="00DA333C" w14:textId="77777777" w:rsidR="00C67FE1" w:rsidRPr="00C67FE1" w:rsidRDefault="00C67FE1" w:rsidP="00C67FE1">
      <w:pPr>
        <w:pStyle w:val="Bullet3"/>
        <w:rPr>
          <w:lang w:val="fr-FR"/>
        </w:rPr>
      </w:pPr>
      <w:r w:rsidRPr="00C67FE1">
        <w:rPr>
          <w:lang w:val="fr-FR"/>
        </w:rPr>
        <w:t>La demande de marque consiste en la répétition du logo emblématique de la Maison PB</w:t>
      </w:r>
      <w:r w:rsidR="00F41F8E">
        <w:rPr>
          <w:lang w:val="fr-FR"/>
        </w:rPr>
        <w:t>.</w:t>
      </w:r>
    </w:p>
    <w:p w14:paraId="4DEC4755" w14:textId="77777777" w:rsidR="00C67FE1" w:rsidRPr="00C67FE1" w:rsidRDefault="00C67FE1" w:rsidP="00C67FE1">
      <w:pPr>
        <w:pStyle w:val="Bullet3"/>
        <w:rPr>
          <w:lang w:val="fr-FR"/>
        </w:rPr>
      </w:pPr>
      <w:r w:rsidRPr="00C67FE1">
        <w:rPr>
          <w:lang w:val="fr-FR"/>
        </w:rPr>
        <w:t>Le monogramme correspond à l’acronyme du nom de l’illustre fondateur de la Maison PB, Monsieur Pierre Balmain.</w:t>
      </w:r>
    </w:p>
    <w:p w14:paraId="7C796D1B" w14:textId="77777777" w:rsidR="00C67FE1" w:rsidRPr="000F4CEC" w:rsidRDefault="00C67FE1" w:rsidP="000F4CEC">
      <w:pPr>
        <w:pStyle w:val="Bullet3"/>
        <w:rPr>
          <w:lang w:val="fr-FR"/>
        </w:rPr>
      </w:pPr>
      <w:r w:rsidRPr="000F4CEC">
        <w:rPr>
          <w:lang w:val="fr-FR"/>
        </w:rPr>
        <w:t>La marque motif a été créé</w:t>
      </w:r>
      <w:r w:rsidR="00F41F8E">
        <w:rPr>
          <w:lang w:val="fr-FR"/>
        </w:rPr>
        <w:t>e</w:t>
      </w:r>
      <w:r w:rsidRPr="000F4CEC">
        <w:rPr>
          <w:lang w:val="fr-FR"/>
        </w:rPr>
        <w:t xml:space="preserve"> au début des années </w:t>
      </w:r>
      <w:r w:rsidR="00F41F8E">
        <w:rPr>
          <w:lang w:val="fr-FR"/>
        </w:rPr>
        <w:t>19</w:t>
      </w:r>
      <w:r w:rsidRPr="000F4CEC">
        <w:rPr>
          <w:lang w:val="fr-FR"/>
        </w:rPr>
        <w:t>70 et a été largement utilisée pendant les années 1970‐1980 :</w:t>
      </w:r>
      <w:r w:rsidR="000F4CEC" w:rsidRPr="000F4CEC">
        <w:rPr>
          <w:lang w:val="fr-FR"/>
        </w:rPr>
        <w:t xml:space="preserve"> </w:t>
      </w:r>
      <w:hyperlink r:id="rId13" w:history="1">
        <w:r w:rsidRPr="000F4CEC">
          <w:rPr>
            <w:rStyle w:val="Lienhypertexte"/>
            <w:lang w:val="fr-FR"/>
          </w:rPr>
          <w:t>https://www.instagram.com/p/CBiJ3hVheVP/?igshid=1l8lo5nbyemvt</w:t>
        </w:r>
      </w:hyperlink>
      <w:r w:rsidRPr="000F4CEC">
        <w:rPr>
          <w:lang w:val="fr-FR"/>
        </w:rPr>
        <w:t xml:space="preserve">; </w:t>
      </w:r>
      <w:hyperlink r:id="rId14" w:history="1">
        <w:r w:rsidRPr="000F4CEC">
          <w:rPr>
            <w:rStyle w:val="Lienhypertexte"/>
            <w:lang w:val="fr-FR"/>
          </w:rPr>
          <w:t>https://www.instagram.com/p/CBA1HVpqsl0/?igshid=sx3hlgr4xpf8</w:t>
        </w:r>
      </w:hyperlink>
      <w:r w:rsidRPr="000F4CEC">
        <w:rPr>
          <w:lang w:val="fr-FR"/>
        </w:rPr>
        <w:t xml:space="preserve">; </w:t>
      </w:r>
      <w:hyperlink r:id="rId15" w:history="1">
        <w:r w:rsidRPr="000F4CEC">
          <w:rPr>
            <w:rStyle w:val="Lienhypertexte"/>
            <w:lang w:val="fr-FR"/>
          </w:rPr>
          <w:t>https://www.instagram.com/p/B31yo73oLZH/?igshid=d6qpfl9bsfer</w:t>
        </w:r>
      </w:hyperlink>
      <w:r w:rsidRPr="000F4CEC">
        <w:rPr>
          <w:lang w:val="fr-FR"/>
        </w:rPr>
        <w:t xml:space="preserve">; </w:t>
      </w:r>
      <w:hyperlink r:id="rId16" w:history="1">
        <w:r w:rsidR="000F4CEC" w:rsidRPr="0017106C">
          <w:rPr>
            <w:rStyle w:val="Lienhypertexte"/>
            <w:lang w:val="fr-FR"/>
          </w:rPr>
          <w:t>https://www.instagram.com/p/_E6NSRtCpV/?igshid=1kynieuto12ec</w:t>
        </w:r>
      </w:hyperlink>
      <w:r w:rsidR="000F4CEC">
        <w:rPr>
          <w:lang w:val="fr-FR"/>
        </w:rPr>
        <w:t>.</w:t>
      </w:r>
    </w:p>
    <w:p w14:paraId="595B9952" w14:textId="77777777" w:rsidR="00C67FE1" w:rsidRPr="00C67FE1" w:rsidRDefault="00C67FE1" w:rsidP="00C67FE1">
      <w:pPr>
        <w:pStyle w:val="Bullet3"/>
        <w:rPr>
          <w:lang w:val="fr-FR"/>
        </w:rPr>
      </w:pPr>
      <w:r w:rsidRPr="00C67FE1">
        <w:rPr>
          <w:lang w:val="fr-FR"/>
        </w:rPr>
        <w:t xml:space="preserve">La marque </w:t>
      </w:r>
      <w:r w:rsidRPr="00C67FE1">
        <w:rPr>
          <w:noProof/>
        </w:rPr>
        <w:drawing>
          <wp:inline distT="0" distB="0" distL="0" distR="0" wp14:anchorId="2C9DDCA8" wp14:editId="3F26E2B0">
            <wp:extent cx="911651" cy="641350"/>
            <wp:effectExtent l="0" t="0" r="0" b="0"/>
            <wp:docPr id="1813476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823" cy="646396"/>
                    </a:xfrm>
                    <a:prstGeom prst="rect">
                      <a:avLst/>
                    </a:prstGeom>
                    <a:noFill/>
                    <a:ln>
                      <a:noFill/>
                    </a:ln>
                  </pic:spPr>
                </pic:pic>
              </a:graphicData>
            </a:graphic>
          </wp:inline>
        </w:drawing>
      </w:r>
      <w:r w:rsidRPr="00233A1D">
        <w:rPr>
          <w:lang w:val="fr-FR"/>
        </w:rPr>
        <w:t xml:space="preserve"> </w:t>
      </w:r>
      <w:r w:rsidRPr="00C67FE1">
        <w:rPr>
          <w:lang w:val="fr-FR"/>
        </w:rPr>
        <w:t>a été largement utilisée dans la collection Automne‐ Hiver 2003‐2004. Pages 19‐24 de l’annexe 3.</w:t>
      </w:r>
    </w:p>
    <w:p w14:paraId="2A15CA03" w14:textId="77777777" w:rsidR="00C67FE1" w:rsidRPr="00C67FE1" w:rsidRDefault="00C67FE1" w:rsidP="00C67FE1">
      <w:pPr>
        <w:pStyle w:val="Bullet3"/>
        <w:rPr>
          <w:lang w:val="fr-FR"/>
        </w:rPr>
      </w:pPr>
      <w:r w:rsidRPr="00C67FE1">
        <w:rPr>
          <w:lang w:val="fr-FR"/>
        </w:rPr>
        <w:t xml:space="preserve">Le monogramme </w:t>
      </w:r>
      <w:r w:rsidR="00233A1D" w:rsidRPr="00233A1D">
        <w:rPr>
          <w:noProof/>
          <w:lang w:val="fr-FR"/>
        </w:rPr>
        <w:drawing>
          <wp:inline distT="0" distB="0" distL="0" distR="0" wp14:anchorId="51D3429E" wp14:editId="30AF8895">
            <wp:extent cx="542925" cy="542925"/>
            <wp:effectExtent l="0" t="0" r="0" b="0"/>
            <wp:docPr id="5444565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233A1D">
        <w:rPr>
          <w:lang w:val="fr-FR"/>
        </w:rPr>
        <w:t xml:space="preserve"> </w:t>
      </w:r>
      <w:r w:rsidRPr="00C67FE1">
        <w:rPr>
          <w:lang w:val="fr-FR"/>
        </w:rPr>
        <w:t>est présent sur les notes de débit des années 80‐90 dont</w:t>
      </w:r>
      <w:r w:rsidR="0021687B">
        <w:rPr>
          <w:lang w:val="fr-FR"/>
        </w:rPr>
        <w:t xml:space="preserve"> </w:t>
      </w:r>
      <w:r w:rsidR="00A8055A">
        <w:rPr>
          <w:lang w:val="fr-FR"/>
        </w:rPr>
        <w:t>p</w:t>
      </w:r>
      <w:r w:rsidRPr="00C67FE1">
        <w:rPr>
          <w:lang w:val="fr-FR"/>
        </w:rPr>
        <w:t>ages 25‐81 de l’annexe 3.</w:t>
      </w:r>
    </w:p>
    <w:p w14:paraId="20F3AC29" w14:textId="77777777" w:rsidR="00233A1D" w:rsidRPr="00A61290" w:rsidRDefault="00C67FE1" w:rsidP="00A61290">
      <w:pPr>
        <w:pStyle w:val="Bullet3"/>
        <w:rPr>
          <w:lang w:val="fr-FR"/>
        </w:rPr>
      </w:pPr>
      <w:r w:rsidRPr="00A61290">
        <w:rPr>
          <w:lang w:val="fr-FR"/>
        </w:rPr>
        <w:lastRenderedPageBreak/>
        <w:t>Le célèbre motif</w:t>
      </w:r>
      <w:r w:rsidR="00233A1D" w:rsidRPr="00A61290">
        <w:rPr>
          <w:lang w:val="fr-FR"/>
        </w:rPr>
        <w:t xml:space="preserve"> </w:t>
      </w:r>
      <w:r w:rsidRPr="00A61290">
        <w:rPr>
          <w:lang w:val="fr-FR"/>
        </w:rPr>
        <w:t xml:space="preserve">a été relancé en 2020 par Olivier </w:t>
      </w:r>
      <w:proofErr w:type="spellStart"/>
      <w:r w:rsidRPr="00A61290">
        <w:rPr>
          <w:lang w:val="fr-FR"/>
        </w:rPr>
        <w:t>Rousteing</w:t>
      </w:r>
      <w:proofErr w:type="spellEnd"/>
      <w:r w:rsidR="00F41F8E">
        <w:rPr>
          <w:lang w:val="fr-FR"/>
        </w:rPr>
        <w:t> </w:t>
      </w:r>
      <w:r w:rsidRPr="00A61290">
        <w:rPr>
          <w:lang w:val="fr-FR"/>
        </w:rPr>
        <w:t>:</w:t>
      </w:r>
      <w:r w:rsidR="00A61290" w:rsidRPr="00A61290">
        <w:rPr>
          <w:lang w:val="fr-FR"/>
        </w:rPr>
        <w:t xml:space="preserve"> </w:t>
      </w:r>
      <w:proofErr w:type="spellStart"/>
      <w:r w:rsidRPr="00A61290">
        <w:rPr>
          <w:lang w:val="fr-FR"/>
        </w:rPr>
        <w:t>Posts</w:t>
      </w:r>
      <w:proofErr w:type="spellEnd"/>
      <w:r w:rsidRPr="00A61290">
        <w:rPr>
          <w:lang w:val="fr-FR"/>
        </w:rPr>
        <w:t xml:space="preserve"> présentant des articles de maroquinerie (sacs, malles, </w:t>
      </w:r>
      <w:proofErr w:type="spellStart"/>
      <w:r w:rsidRPr="00A61290">
        <w:rPr>
          <w:lang w:val="fr-FR"/>
        </w:rPr>
        <w:t>etc</w:t>
      </w:r>
      <w:proofErr w:type="spellEnd"/>
      <w:r w:rsidRPr="00A61290">
        <w:rPr>
          <w:lang w:val="fr-FR"/>
        </w:rPr>
        <w:t>) revêtus de la</w:t>
      </w:r>
      <w:r w:rsidR="00233A1D" w:rsidRPr="00A61290">
        <w:rPr>
          <w:lang w:val="fr-FR"/>
        </w:rPr>
        <w:t xml:space="preserve"> </w:t>
      </w:r>
      <w:r w:rsidRPr="00A61290">
        <w:rPr>
          <w:lang w:val="fr-FR"/>
        </w:rPr>
        <w:t>marque</w:t>
      </w:r>
      <w:r w:rsidR="00233A1D" w:rsidRPr="00A61290">
        <w:rPr>
          <w:lang w:val="fr-FR"/>
        </w:rPr>
        <w:t xml:space="preserve"> </w:t>
      </w:r>
      <w:r w:rsidRPr="00A61290">
        <w:rPr>
          <w:lang w:val="fr-FR"/>
        </w:rPr>
        <w:t>sur le compte Instagram du Directeur de la Création de la</w:t>
      </w:r>
      <w:r w:rsidR="00233A1D" w:rsidRPr="00A61290">
        <w:rPr>
          <w:lang w:val="fr-FR"/>
        </w:rPr>
        <w:t xml:space="preserve"> </w:t>
      </w:r>
      <w:r w:rsidRPr="00A61290">
        <w:rPr>
          <w:lang w:val="fr-FR"/>
        </w:rPr>
        <w:t>Maison Balmain :</w:t>
      </w:r>
      <w:r w:rsidR="00A61290" w:rsidRPr="00A61290">
        <w:rPr>
          <w:lang w:val="fr-FR"/>
        </w:rPr>
        <w:t xml:space="preserve"> </w:t>
      </w:r>
      <w:hyperlink r:id="rId19" w:history="1">
        <w:r w:rsidR="00233A1D" w:rsidRPr="00A61290">
          <w:rPr>
            <w:rStyle w:val="Lienhypertexte"/>
            <w:lang w:val="fr-FR"/>
          </w:rPr>
          <w:t>https://www.instagram.com/p/CBXkLxTBGGs/?igshid=1de9su7cgn4j6</w:t>
        </w:r>
      </w:hyperlink>
      <w:r w:rsidR="00A61290" w:rsidRPr="00A61290">
        <w:rPr>
          <w:lang w:val="fr-FR"/>
        </w:rPr>
        <w:t xml:space="preserve"> </w:t>
      </w:r>
      <w:hyperlink r:id="rId20" w:history="1">
        <w:r w:rsidR="00233A1D" w:rsidRPr="00A61290">
          <w:rPr>
            <w:rStyle w:val="Lienhypertexte"/>
            <w:lang w:val="fr-FR"/>
          </w:rPr>
          <w:t>https://www.instagram.com/p/CByknsDheCW/?igshid=6wskq4f0f3ev</w:t>
        </w:r>
      </w:hyperlink>
      <w:r w:rsidR="00A61290" w:rsidRPr="00A61290">
        <w:rPr>
          <w:lang w:val="fr-FR"/>
        </w:rPr>
        <w:t xml:space="preserve"> </w:t>
      </w:r>
      <w:hyperlink r:id="rId21" w:history="1">
        <w:r w:rsidR="00233A1D" w:rsidRPr="00A61290">
          <w:rPr>
            <w:rStyle w:val="Lienhypertexte"/>
            <w:lang w:val="fr-FR"/>
          </w:rPr>
          <w:t>https://www.instagram.com/p/CByVIYIh9xH/?igshid=1i94sukey2xlo</w:t>
        </w:r>
      </w:hyperlink>
    </w:p>
    <w:p w14:paraId="3F2056EB" w14:textId="77777777" w:rsidR="00233A1D" w:rsidRPr="00A61290" w:rsidRDefault="00C67FE1" w:rsidP="00433CC3">
      <w:pPr>
        <w:pStyle w:val="Bullet3"/>
        <w:rPr>
          <w:lang w:val="fr-FR"/>
        </w:rPr>
      </w:pPr>
      <w:r w:rsidRPr="00A61290">
        <w:rPr>
          <w:lang w:val="fr-FR"/>
        </w:rPr>
        <w:t>Ainsi que le site internet du la Maison Balmain où les produits sont offerts à la</w:t>
      </w:r>
      <w:r w:rsidR="00233A1D" w:rsidRPr="00A61290">
        <w:rPr>
          <w:lang w:val="fr-FR"/>
        </w:rPr>
        <w:t xml:space="preserve"> </w:t>
      </w:r>
      <w:r w:rsidRPr="00A61290">
        <w:rPr>
          <w:lang w:val="fr-FR"/>
        </w:rPr>
        <w:t>vente</w:t>
      </w:r>
      <w:r w:rsidR="00F41F8E">
        <w:rPr>
          <w:lang w:val="fr-FR"/>
        </w:rPr>
        <w:t> </w:t>
      </w:r>
      <w:r w:rsidRPr="00A61290">
        <w:rPr>
          <w:lang w:val="fr-FR"/>
        </w:rPr>
        <w:t>:</w:t>
      </w:r>
      <w:r w:rsidR="00A61290">
        <w:rPr>
          <w:lang w:val="fr-FR"/>
        </w:rPr>
        <w:t xml:space="preserve"> </w:t>
      </w:r>
      <w:hyperlink r:id="rId22" w:history="1">
        <w:r w:rsidR="00233A1D" w:rsidRPr="00A61290">
          <w:rPr>
            <w:rStyle w:val="Lienhypertexte"/>
            <w:lang w:val="fr-FR"/>
          </w:rPr>
          <w:t>https://www.balmain.com/fr/femme/sacs‐1945</w:t>
        </w:r>
      </w:hyperlink>
      <w:r w:rsidR="00A61290" w:rsidRPr="00A61290">
        <w:rPr>
          <w:lang w:val="fr-FR"/>
        </w:rPr>
        <w:t xml:space="preserve">. </w:t>
      </w:r>
    </w:p>
    <w:p w14:paraId="56B34DC9" w14:textId="77777777" w:rsidR="00C67FE1" w:rsidRPr="00233A1D" w:rsidRDefault="00C67FE1" w:rsidP="00233A1D">
      <w:pPr>
        <w:pStyle w:val="Bullet3"/>
        <w:rPr>
          <w:lang w:val="fr-FR"/>
        </w:rPr>
      </w:pPr>
      <w:r w:rsidRPr="00233A1D">
        <w:rPr>
          <w:lang w:val="fr-FR"/>
        </w:rPr>
        <w:t xml:space="preserve">La marque motif a été largement utilisée depuis l’année 2020. </w:t>
      </w:r>
    </w:p>
    <w:p w14:paraId="37BBFEBF" w14:textId="77777777" w:rsidR="00C67FE1" w:rsidRPr="00233A1D" w:rsidRDefault="00C67FE1" w:rsidP="00233A1D">
      <w:pPr>
        <w:pStyle w:val="Bullet3"/>
        <w:rPr>
          <w:lang w:val="fr-FR"/>
        </w:rPr>
      </w:pPr>
      <w:r w:rsidRPr="00233A1D">
        <w:rPr>
          <w:lang w:val="fr-FR"/>
        </w:rPr>
        <w:t>La marque motif a été reproduite sur une grande variété de produits</w:t>
      </w:r>
      <w:r w:rsidR="00F41F8E">
        <w:rPr>
          <w:lang w:val="fr-FR"/>
        </w:rPr>
        <w:t> </w:t>
      </w:r>
      <w:r w:rsidRPr="00233A1D">
        <w:rPr>
          <w:lang w:val="fr-FR"/>
        </w:rPr>
        <w:t xml:space="preserve">: haute couture, </w:t>
      </w:r>
      <w:r w:rsidR="00233A1D" w:rsidRPr="00233A1D">
        <w:rPr>
          <w:lang w:val="fr-FR"/>
        </w:rPr>
        <w:t xml:space="preserve">prêt-à-porter </w:t>
      </w:r>
      <w:r w:rsidRPr="00233A1D">
        <w:rPr>
          <w:lang w:val="fr-FR"/>
        </w:rPr>
        <w:t>féminin et masculin et maroquinerie.</w:t>
      </w:r>
    </w:p>
    <w:p w14:paraId="4228C05A" w14:textId="77777777" w:rsidR="00C67FE1" w:rsidRPr="00A61290" w:rsidRDefault="00C67FE1" w:rsidP="00A61290">
      <w:pPr>
        <w:pStyle w:val="Bullet3"/>
        <w:rPr>
          <w:lang w:val="fr-FR"/>
        </w:rPr>
      </w:pPr>
      <w:r w:rsidRPr="00A61290">
        <w:rPr>
          <w:lang w:val="fr-FR"/>
        </w:rPr>
        <w:t xml:space="preserve">La marque en l’espèce a </w:t>
      </w:r>
      <w:r w:rsidR="00F41F8E">
        <w:rPr>
          <w:lang w:val="fr-FR"/>
        </w:rPr>
        <w:t xml:space="preserve">déjà </w:t>
      </w:r>
      <w:r w:rsidRPr="00A61290">
        <w:rPr>
          <w:lang w:val="fr-FR"/>
        </w:rPr>
        <w:t xml:space="preserve">été enregistrée en France </w:t>
      </w:r>
      <w:r w:rsidR="00F41F8E">
        <w:rPr>
          <w:lang w:val="fr-FR"/>
        </w:rPr>
        <w:t>le</w:t>
      </w:r>
      <w:r w:rsidRPr="00A61290">
        <w:rPr>
          <w:lang w:val="fr-FR"/>
        </w:rPr>
        <w:t xml:space="preserve"> </w:t>
      </w:r>
      <w:r w:rsidR="009B5CFC" w:rsidRPr="00A61290">
        <w:rPr>
          <w:lang w:val="fr-FR"/>
        </w:rPr>
        <w:t>23 juillet 2021</w:t>
      </w:r>
      <w:r w:rsidR="001D087B">
        <w:rPr>
          <w:lang w:val="fr-FR"/>
        </w:rPr>
        <w:t xml:space="preserve"> </w:t>
      </w:r>
      <w:r w:rsidR="00F41F8E">
        <w:rPr>
          <w:lang w:val="fr-FR"/>
        </w:rPr>
        <w:t>sous le numéro nº </w:t>
      </w:r>
      <w:r w:rsidRPr="00A61290">
        <w:rPr>
          <w:lang w:val="fr-FR"/>
        </w:rPr>
        <w:t>4</w:t>
      </w:r>
      <w:r w:rsidR="009B5CFC" w:rsidRPr="00A61290">
        <w:rPr>
          <w:lang w:val="fr-FR"/>
        </w:rPr>
        <w:t> 648 521</w:t>
      </w:r>
      <w:r w:rsidRPr="00A61290">
        <w:rPr>
          <w:lang w:val="fr-FR"/>
        </w:rPr>
        <w:t>.</w:t>
      </w:r>
    </w:p>
    <w:p w14:paraId="306803CE" w14:textId="77777777" w:rsidR="00C67FE1" w:rsidRPr="00233A1D" w:rsidRDefault="001D087B" w:rsidP="001D087B">
      <w:pPr>
        <w:pStyle w:val="Bullet2"/>
        <w:rPr>
          <w:lang w:val="fr-FR"/>
        </w:rPr>
      </w:pPr>
      <w:r>
        <w:rPr>
          <w:lang w:val="fr-FR"/>
        </w:rPr>
        <w:t>La demanderesse, présent</w:t>
      </w:r>
      <w:r w:rsidR="00F41F8E">
        <w:rPr>
          <w:lang w:val="fr-FR"/>
        </w:rPr>
        <w:t>e</w:t>
      </w:r>
      <w:r>
        <w:rPr>
          <w:lang w:val="fr-FR"/>
        </w:rPr>
        <w:t xml:space="preserve"> </w:t>
      </w:r>
      <w:r w:rsidR="00D4347B">
        <w:rPr>
          <w:lang w:val="fr-FR"/>
        </w:rPr>
        <w:t>les n</w:t>
      </w:r>
      <w:r w:rsidR="00D4347B" w:rsidRPr="00C67FE1">
        <w:rPr>
          <w:lang w:val="fr-FR"/>
        </w:rPr>
        <w:t xml:space="preserve">ouveaux documents </w:t>
      </w:r>
      <w:r w:rsidR="00D4347B">
        <w:rPr>
          <w:lang w:val="fr-FR"/>
        </w:rPr>
        <w:t>suivants</w:t>
      </w:r>
      <w:r w:rsidR="000F28E7">
        <w:rPr>
          <w:lang w:val="fr-FR"/>
        </w:rPr>
        <w:t> :</w:t>
      </w:r>
    </w:p>
    <w:p w14:paraId="2166B7C6" w14:textId="77777777" w:rsidR="00C67FE1" w:rsidRPr="00233A1D" w:rsidRDefault="00C67FE1" w:rsidP="00233A1D">
      <w:pPr>
        <w:pStyle w:val="Bullet3"/>
        <w:rPr>
          <w:lang w:val="fr-FR"/>
        </w:rPr>
      </w:pPr>
      <w:r w:rsidRPr="00233A1D">
        <w:rPr>
          <w:lang w:val="fr-FR"/>
        </w:rPr>
        <w:t>Document</w:t>
      </w:r>
      <w:r w:rsidR="00F41F8E">
        <w:rPr>
          <w:lang w:val="fr-FR"/>
        </w:rPr>
        <w:t> </w:t>
      </w:r>
      <w:r w:rsidRPr="00233A1D">
        <w:rPr>
          <w:lang w:val="fr-FR"/>
        </w:rPr>
        <w:t>A : Historique concernant l’usage de la marque motif objectée des années</w:t>
      </w:r>
      <w:r w:rsidR="00233A1D" w:rsidRPr="00233A1D">
        <w:rPr>
          <w:lang w:val="fr-FR"/>
        </w:rPr>
        <w:t xml:space="preserve"> </w:t>
      </w:r>
      <w:r w:rsidRPr="00233A1D">
        <w:rPr>
          <w:lang w:val="fr-FR"/>
        </w:rPr>
        <w:t>1970 au début des années 2000.</w:t>
      </w:r>
    </w:p>
    <w:p w14:paraId="7CA4FAC5" w14:textId="77777777" w:rsidR="00C67FE1" w:rsidRPr="00C67FE1" w:rsidRDefault="00C67FE1" w:rsidP="00233A1D">
      <w:pPr>
        <w:pStyle w:val="Bullet3"/>
        <w:rPr>
          <w:lang w:val="fr-FR"/>
        </w:rPr>
      </w:pPr>
      <w:r w:rsidRPr="00C67FE1">
        <w:rPr>
          <w:lang w:val="fr-FR"/>
        </w:rPr>
        <w:t>Document</w:t>
      </w:r>
      <w:r w:rsidR="00F41F8E">
        <w:rPr>
          <w:lang w:val="fr-FR"/>
        </w:rPr>
        <w:t> </w:t>
      </w:r>
      <w:r w:rsidRPr="00C67FE1">
        <w:rPr>
          <w:lang w:val="fr-FR"/>
        </w:rPr>
        <w:t>B : Usages de la marque motif des années 1970 jusqu’à l’année 2020.</w:t>
      </w:r>
    </w:p>
    <w:p w14:paraId="60356195" w14:textId="77777777" w:rsidR="00C67FE1" w:rsidRPr="00C67FE1" w:rsidRDefault="00C67FE1" w:rsidP="00233A1D">
      <w:pPr>
        <w:pStyle w:val="Bullet3"/>
        <w:rPr>
          <w:lang w:val="fr-FR"/>
        </w:rPr>
      </w:pPr>
      <w:r w:rsidRPr="00C67FE1">
        <w:rPr>
          <w:lang w:val="fr-FR"/>
        </w:rPr>
        <w:t>Document</w:t>
      </w:r>
      <w:r w:rsidR="00F41F8E">
        <w:rPr>
          <w:lang w:val="fr-FR"/>
        </w:rPr>
        <w:t> </w:t>
      </w:r>
      <w:r w:rsidRPr="00C67FE1">
        <w:rPr>
          <w:lang w:val="fr-FR"/>
        </w:rPr>
        <w:t>C : Usages de la marque motif objectée depuis l’année 2020.</w:t>
      </w:r>
    </w:p>
    <w:p w14:paraId="7AED814B" w14:textId="77777777" w:rsidR="00C67FE1" w:rsidRPr="00233A1D" w:rsidRDefault="00C67FE1" w:rsidP="00233A1D">
      <w:pPr>
        <w:pStyle w:val="Bullet3"/>
        <w:rPr>
          <w:lang w:val="fr-FR"/>
        </w:rPr>
      </w:pPr>
      <w:r w:rsidRPr="00233A1D">
        <w:rPr>
          <w:lang w:val="fr-FR"/>
        </w:rPr>
        <w:t>Document</w:t>
      </w:r>
      <w:r w:rsidR="00F41F8E">
        <w:rPr>
          <w:lang w:val="fr-FR"/>
        </w:rPr>
        <w:t> </w:t>
      </w:r>
      <w:r w:rsidRPr="00233A1D">
        <w:rPr>
          <w:lang w:val="fr-FR"/>
        </w:rPr>
        <w:t xml:space="preserve">D : </w:t>
      </w:r>
      <w:r w:rsidRPr="007835C0">
        <w:rPr>
          <w:i/>
          <w:iCs/>
          <w:lang w:val="fr-FR"/>
        </w:rPr>
        <w:t>Line‐</w:t>
      </w:r>
      <w:proofErr w:type="spellStart"/>
      <w:r w:rsidRPr="007835C0">
        <w:rPr>
          <w:i/>
          <w:iCs/>
          <w:lang w:val="fr-FR"/>
        </w:rPr>
        <w:t>sheets</w:t>
      </w:r>
      <w:proofErr w:type="spellEnd"/>
      <w:r w:rsidRPr="00233A1D">
        <w:rPr>
          <w:lang w:val="fr-FR"/>
        </w:rPr>
        <w:t xml:space="preserve"> avec état de ventes de quelques produits contenant la marque</w:t>
      </w:r>
      <w:r w:rsidR="00233A1D" w:rsidRPr="00233A1D">
        <w:rPr>
          <w:lang w:val="fr-FR"/>
        </w:rPr>
        <w:t xml:space="preserve"> </w:t>
      </w:r>
      <w:r w:rsidRPr="00233A1D">
        <w:rPr>
          <w:lang w:val="fr-FR"/>
        </w:rPr>
        <w:t xml:space="preserve">motif objectée, datée le </w:t>
      </w:r>
      <w:r w:rsidR="009B5CFC" w:rsidRPr="00233A1D">
        <w:rPr>
          <w:lang w:val="fr-FR"/>
        </w:rPr>
        <w:t>2</w:t>
      </w:r>
      <w:r w:rsidR="009B5CFC">
        <w:rPr>
          <w:lang w:val="fr-FR"/>
        </w:rPr>
        <w:t> </w:t>
      </w:r>
      <w:r w:rsidR="009B5CFC" w:rsidRPr="00233A1D">
        <w:rPr>
          <w:lang w:val="fr-FR"/>
        </w:rPr>
        <w:t>novembre</w:t>
      </w:r>
      <w:r w:rsidR="009B5CFC">
        <w:rPr>
          <w:lang w:val="fr-FR"/>
        </w:rPr>
        <w:t> </w:t>
      </w:r>
      <w:r w:rsidR="009B5CFC" w:rsidRPr="00233A1D">
        <w:rPr>
          <w:lang w:val="fr-FR"/>
        </w:rPr>
        <w:t>2020</w:t>
      </w:r>
      <w:r w:rsidRPr="00233A1D">
        <w:rPr>
          <w:lang w:val="fr-FR"/>
        </w:rPr>
        <w:t>. Ce document démontre le volume de ventes</w:t>
      </w:r>
      <w:r w:rsidR="00233A1D" w:rsidRPr="00233A1D">
        <w:rPr>
          <w:lang w:val="fr-FR"/>
        </w:rPr>
        <w:t xml:space="preserve"> </w:t>
      </w:r>
      <w:r w:rsidRPr="00233A1D">
        <w:rPr>
          <w:lang w:val="fr-FR"/>
        </w:rPr>
        <w:t>des produits commercialisés sous la marque motif.</w:t>
      </w:r>
    </w:p>
    <w:p w14:paraId="0486173B" w14:textId="77777777" w:rsidR="00C67FE1" w:rsidRPr="00233A1D" w:rsidRDefault="00C67FE1" w:rsidP="00233A1D">
      <w:pPr>
        <w:pStyle w:val="Bullet3"/>
        <w:rPr>
          <w:lang w:val="fr-FR"/>
        </w:rPr>
      </w:pPr>
      <w:r w:rsidRPr="00233A1D">
        <w:rPr>
          <w:lang w:val="fr-FR"/>
        </w:rPr>
        <w:t>Document</w:t>
      </w:r>
      <w:r w:rsidR="00F41F8E">
        <w:rPr>
          <w:lang w:val="fr-FR"/>
        </w:rPr>
        <w:t> </w:t>
      </w:r>
      <w:r w:rsidRPr="00233A1D">
        <w:rPr>
          <w:lang w:val="fr-FR"/>
        </w:rPr>
        <w:t>E : Parutions en presse de la marque motif pendant les années 2020, 2021,</w:t>
      </w:r>
      <w:r w:rsidR="00233A1D" w:rsidRPr="00233A1D">
        <w:rPr>
          <w:lang w:val="fr-FR"/>
        </w:rPr>
        <w:t xml:space="preserve"> </w:t>
      </w:r>
      <w:r w:rsidRPr="00233A1D">
        <w:rPr>
          <w:lang w:val="fr-FR"/>
        </w:rPr>
        <w:t>20</w:t>
      </w:r>
      <w:r w:rsidR="009B5CFC" w:rsidRPr="00233A1D">
        <w:rPr>
          <w:lang w:val="fr-FR"/>
        </w:rPr>
        <w:t>22</w:t>
      </w:r>
      <w:r w:rsidR="009B5CFC">
        <w:rPr>
          <w:lang w:val="fr-FR"/>
        </w:rPr>
        <w:t> </w:t>
      </w:r>
      <w:r w:rsidR="009B5CFC" w:rsidRPr="00233A1D">
        <w:rPr>
          <w:lang w:val="fr-FR"/>
        </w:rPr>
        <w:t>et</w:t>
      </w:r>
      <w:r w:rsidR="009B5CFC">
        <w:rPr>
          <w:lang w:val="fr-FR"/>
        </w:rPr>
        <w:t> </w:t>
      </w:r>
      <w:r w:rsidR="009B5CFC" w:rsidRPr="00233A1D">
        <w:rPr>
          <w:lang w:val="fr-FR"/>
        </w:rPr>
        <w:t>2023</w:t>
      </w:r>
      <w:r w:rsidRPr="00233A1D">
        <w:rPr>
          <w:lang w:val="fr-FR"/>
        </w:rPr>
        <w:t>. Ce document atteste la notoriété de la marque motif. La présence de la</w:t>
      </w:r>
      <w:r w:rsidR="00233A1D" w:rsidRPr="00233A1D">
        <w:rPr>
          <w:lang w:val="fr-FR"/>
        </w:rPr>
        <w:t xml:space="preserve"> </w:t>
      </w:r>
      <w:r w:rsidRPr="00233A1D">
        <w:rPr>
          <w:lang w:val="fr-FR"/>
        </w:rPr>
        <w:t>marque sur les magasins du secteur de la mode est très importante prenant compte que</w:t>
      </w:r>
      <w:r w:rsidR="00233A1D" w:rsidRPr="00233A1D">
        <w:rPr>
          <w:lang w:val="fr-FR"/>
        </w:rPr>
        <w:t xml:space="preserve"> </w:t>
      </w:r>
      <w:r w:rsidRPr="00233A1D">
        <w:rPr>
          <w:lang w:val="fr-FR"/>
        </w:rPr>
        <w:t>ces types de magazines sont largement distribués dans le monde entier.</w:t>
      </w:r>
    </w:p>
    <w:p w14:paraId="2735E503" w14:textId="77777777" w:rsidR="00C67FE1" w:rsidRPr="00233A1D" w:rsidRDefault="00C67FE1" w:rsidP="00233A1D">
      <w:pPr>
        <w:pStyle w:val="Bullet3"/>
        <w:rPr>
          <w:lang w:val="fr-FR"/>
        </w:rPr>
      </w:pPr>
      <w:r w:rsidRPr="00233A1D">
        <w:rPr>
          <w:lang w:val="fr-FR"/>
        </w:rPr>
        <w:t>Document F</w:t>
      </w:r>
      <w:r w:rsidR="00F41F8E">
        <w:rPr>
          <w:lang w:val="fr-FR"/>
        </w:rPr>
        <w:t> </w:t>
      </w:r>
      <w:r w:rsidRPr="00233A1D">
        <w:rPr>
          <w:lang w:val="fr-FR"/>
        </w:rPr>
        <w:t>: Dossiers des collections Homme, Femme et Unisexe, de 2021 à aujourd'hui,</w:t>
      </w:r>
      <w:r w:rsidR="00233A1D" w:rsidRPr="00233A1D">
        <w:rPr>
          <w:lang w:val="fr-FR"/>
        </w:rPr>
        <w:t xml:space="preserve"> </w:t>
      </w:r>
      <w:r w:rsidRPr="00233A1D">
        <w:rPr>
          <w:lang w:val="fr-FR"/>
        </w:rPr>
        <w:t>montrant un grand numéro de produits reproduisant la marque motif objectée.</w:t>
      </w:r>
    </w:p>
    <w:p w14:paraId="599F6EDE" w14:textId="77777777" w:rsidR="000F28E7" w:rsidRDefault="00C67FE1" w:rsidP="00233A1D">
      <w:pPr>
        <w:pStyle w:val="Bullet3"/>
        <w:rPr>
          <w:lang w:val="fr-FR"/>
        </w:rPr>
      </w:pPr>
      <w:r w:rsidRPr="00233A1D">
        <w:rPr>
          <w:lang w:val="fr-FR"/>
        </w:rPr>
        <w:t>Document G</w:t>
      </w:r>
      <w:r w:rsidR="00F41F8E">
        <w:rPr>
          <w:lang w:val="fr-FR"/>
        </w:rPr>
        <w:t> </w:t>
      </w:r>
      <w:r w:rsidRPr="00233A1D">
        <w:rPr>
          <w:lang w:val="fr-FR"/>
        </w:rPr>
        <w:t>: Liste des produits contenant le marque motif objectée facturés sur les</w:t>
      </w:r>
      <w:r w:rsidR="00233A1D" w:rsidRPr="00233A1D">
        <w:rPr>
          <w:lang w:val="fr-FR"/>
        </w:rPr>
        <w:t xml:space="preserve"> </w:t>
      </w:r>
      <w:r w:rsidRPr="00233A1D">
        <w:rPr>
          <w:lang w:val="fr-FR"/>
        </w:rPr>
        <w:t>saisons 59 (Automne‐Hiver 2021) à 66 (Printemps‐Été 2025).</w:t>
      </w:r>
    </w:p>
    <w:p w14:paraId="546D1F20" w14:textId="77777777" w:rsidR="00C67FE1" w:rsidRPr="000F28E7" w:rsidRDefault="00C67FE1" w:rsidP="000F28E7">
      <w:pPr>
        <w:pStyle w:val="Bullet3"/>
        <w:rPr>
          <w:lang w:val="fr-FR"/>
        </w:rPr>
      </w:pPr>
      <w:r w:rsidRPr="00233A1D">
        <w:rPr>
          <w:lang w:val="fr-FR"/>
        </w:rPr>
        <w:t>On peut observer le nombre</w:t>
      </w:r>
      <w:r w:rsidR="00233A1D" w:rsidRPr="00233A1D">
        <w:rPr>
          <w:lang w:val="fr-FR"/>
        </w:rPr>
        <w:t xml:space="preserve"> </w:t>
      </w:r>
      <w:r w:rsidRPr="00233A1D">
        <w:rPr>
          <w:lang w:val="fr-FR"/>
        </w:rPr>
        <w:t>de pièces contenant la marque motif objectée facturées et le nombre de références</w:t>
      </w:r>
      <w:r w:rsidR="00233A1D" w:rsidRPr="00233A1D">
        <w:rPr>
          <w:lang w:val="fr-FR"/>
        </w:rPr>
        <w:t xml:space="preserve"> </w:t>
      </w:r>
      <w:r w:rsidRPr="00233A1D">
        <w:rPr>
          <w:lang w:val="fr-FR"/>
        </w:rPr>
        <w:t xml:space="preserve">concernées </w:t>
      </w:r>
      <w:r w:rsidR="000F28E7">
        <w:rPr>
          <w:lang w:val="fr-FR"/>
        </w:rPr>
        <w:t xml:space="preserve">s’élèvent </w:t>
      </w:r>
      <w:r w:rsidR="000F28E7" w:rsidRPr="00233A1D">
        <w:rPr>
          <w:lang w:val="fr-FR"/>
        </w:rPr>
        <w:t xml:space="preserve">à </w:t>
      </w:r>
      <w:r w:rsidRPr="000F28E7">
        <w:rPr>
          <w:lang w:val="fr-FR"/>
        </w:rPr>
        <w:t>292</w:t>
      </w:r>
      <w:r w:rsidR="00F41F8E">
        <w:rPr>
          <w:lang w:val="fr-FR"/>
        </w:rPr>
        <w:t> </w:t>
      </w:r>
      <w:r w:rsidRPr="000F28E7">
        <w:rPr>
          <w:lang w:val="fr-FR"/>
        </w:rPr>
        <w:t>535 pièces facturées</w:t>
      </w:r>
      <w:r w:rsidR="000F28E7">
        <w:rPr>
          <w:lang w:val="fr-FR"/>
        </w:rPr>
        <w:t xml:space="preserve"> et </w:t>
      </w:r>
      <w:r w:rsidRPr="000F28E7">
        <w:rPr>
          <w:lang w:val="fr-FR"/>
        </w:rPr>
        <w:t>1</w:t>
      </w:r>
      <w:r w:rsidR="00F41F8E">
        <w:rPr>
          <w:lang w:val="fr-FR"/>
        </w:rPr>
        <w:t> </w:t>
      </w:r>
      <w:r w:rsidRPr="000F28E7">
        <w:rPr>
          <w:lang w:val="fr-FR"/>
        </w:rPr>
        <w:t>948 références concernées.</w:t>
      </w:r>
    </w:p>
    <w:p w14:paraId="794FFEB7" w14:textId="77777777" w:rsidR="00CE4E97" w:rsidRPr="000F28E7" w:rsidRDefault="00633083" w:rsidP="005A43AC">
      <w:pPr>
        <w:pStyle w:val="Titre1"/>
        <w:rPr>
          <w:lang w:val="fr-FR"/>
        </w:rPr>
      </w:pPr>
      <w:r w:rsidRPr="000F28E7">
        <w:rPr>
          <w:lang w:val="fr-FR"/>
        </w:rPr>
        <w:lastRenderedPageBreak/>
        <w:t>Motifs de la décision</w:t>
      </w:r>
    </w:p>
    <w:p w14:paraId="0CEBA87F" w14:textId="77777777" w:rsidR="00CE4E97" w:rsidRDefault="00633083" w:rsidP="005A43AC">
      <w:pPr>
        <w:pStyle w:val="Numbered1"/>
        <w:rPr>
          <w:lang w:val="fr-FR"/>
        </w:rPr>
      </w:pPr>
      <w:r w:rsidRPr="005A43AC">
        <w:rPr>
          <w:lang w:val="fr-FR"/>
        </w:rPr>
        <w:t>Le recours est conforme aux articles 66 et 67 et à l'article 68, paragraphe 1, RMUE. Il est recevable.</w:t>
      </w:r>
    </w:p>
    <w:p w14:paraId="47ABC6E9" w14:textId="77777777" w:rsidR="00250EC4" w:rsidRPr="00616CB9" w:rsidRDefault="00250EC4" w:rsidP="00B90D13">
      <w:pPr>
        <w:pStyle w:val="Titre2"/>
        <w:rPr>
          <w:lang w:val="fr-FR"/>
        </w:rPr>
      </w:pPr>
      <w:r w:rsidRPr="00616CB9">
        <w:rPr>
          <w:lang w:val="fr-FR"/>
        </w:rPr>
        <w:t xml:space="preserve">Article 7, </w:t>
      </w:r>
      <w:r w:rsidR="00070603" w:rsidRPr="00616CB9">
        <w:rPr>
          <w:lang w:val="fr-FR"/>
        </w:rPr>
        <w:t>paragraphe</w:t>
      </w:r>
      <w:r w:rsidR="00070603">
        <w:rPr>
          <w:lang w:val="fr-FR"/>
        </w:rPr>
        <w:t> </w:t>
      </w:r>
      <w:r w:rsidR="00070603" w:rsidRPr="00616CB9">
        <w:rPr>
          <w:lang w:val="fr-FR"/>
        </w:rPr>
        <w:t>3</w:t>
      </w:r>
      <w:r w:rsidRPr="00616CB9">
        <w:rPr>
          <w:lang w:val="fr-FR"/>
        </w:rPr>
        <w:t>, du RMUE - caractère distinctif acquis par l’usage</w:t>
      </w:r>
    </w:p>
    <w:p w14:paraId="23FAAA05" w14:textId="77777777" w:rsidR="00250EC4" w:rsidRPr="00616CB9" w:rsidRDefault="00250EC4" w:rsidP="00250EC4">
      <w:pPr>
        <w:pStyle w:val="Numbered1"/>
        <w:rPr>
          <w:lang w:val="fr-FR"/>
        </w:rPr>
      </w:pPr>
      <w:r w:rsidRPr="00616CB9">
        <w:rPr>
          <w:lang w:val="fr-FR"/>
        </w:rPr>
        <w:t>En vertu de l’article</w:t>
      </w:r>
      <w:r w:rsidR="00F41F8E">
        <w:rPr>
          <w:lang w:val="fr-FR"/>
        </w:rPr>
        <w:t> </w:t>
      </w:r>
      <w:r w:rsidRPr="00616CB9">
        <w:rPr>
          <w:lang w:val="fr-FR"/>
        </w:rPr>
        <w:t>7, paragraphe</w:t>
      </w:r>
      <w:r w:rsidR="00F41F8E">
        <w:rPr>
          <w:lang w:val="fr-FR"/>
        </w:rPr>
        <w:t> </w:t>
      </w:r>
      <w:r w:rsidRPr="00616CB9">
        <w:rPr>
          <w:lang w:val="fr-FR"/>
        </w:rPr>
        <w:t>3, du RMUE, les motifs absolus visés à l’article</w:t>
      </w:r>
      <w:r w:rsidR="00F41F8E">
        <w:rPr>
          <w:lang w:val="fr-FR"/>
        </w:rPr>
        <w:t> </w:t>
      </w:r>
      <w:r w:rsidRPr="00616CB9">
        <w:rPr>
          <w:lang w:val="fr-FR"/>
        </w:rPr>
        <w:t>7, paragraphe</w:t>
      </w:r>
      <w:r w:rsidR="00F41F8E">
        <w:rPr>
          <w:lang w:val="fr-FR"/>
        </w:rPr>
        <w:t> </w:t>
      </w:r>
      <w:r w:rsidRPr="00616CB9">
        <w:rPr>
          <w:lang w:val="fr-FR"/>
        </w:rPr>
        <w:t>1, points</w:t>
      </w:r>
      <w:r w:rsidR="00F41F8E">
        <w:rPr>
          <w:lang w:val="fr-FR"/>
        </w:rPr>
        <w:t> </w:t>
      </w:r>
      <w:r w:rsidRPr="00616CB9">
        <w:rPr>
          <w:lang w:val="fr-FR"/>
        </w:rPr>
        <w:t>b) à</w:t>
      </w:r>
      <w:r w:rsidR="00F41F8E">
        <w:rPr>
          <w:lang w:val="fr-FR"/>
        </w:rPr>
        <w:t> </w:t>
      </w:r>
      <w:r w:rsidRPr="00616CB9">
        <w:rPr>
          <w:lang w:val="fr-FR"/>
        </w:rPr>
        <w:t>d), du RMUE, ne s’opposent pas à l’enregistrement d’une marque si celle-ci a acquis pour les produits ou services pour lesquels est demandé l’enregistrement un caractère distinctif après l’usage qui en a été fait.</w:t>
      </w:r>
    </w:p>
    <w:p w14:paraId="62593F55" w14:textId="77777777" w:rsidR="00250EC4" w:rsidRPr="00616CB9" w:rsidRDefault="00250EC4" w:rsidP="00250EC4">
      <w:pPr>
        <w:pStyle w:val="Numbered1"/>
        <w:rPr>
          <w:lang w:val="fr-FR"/>
        </w:rPr>
      </w:pPr>
      <w:r w:rsidRPr="00616CB9">
        <w:rPr>
          <w:lang w:val="fr-FR"/>
        </w:rPr>
        <w:t>Conformément à l’article</w:t>
      </w:r>
      <w:r w:rsidR="00F41F8E">
        <w:rPr>
          <w:lang w:val="fr-FR"/>
        </w:rPr>
        <w:t> </w:t>
      </w:r>
      <w:r w:rsidRPr="00616CB9">
        <w:rPr>
          <w:lang w:val="fr-FR"/>
        </w:rPr>
        <w:t>2, paragraphe</w:t>
      </w:r>
      <w:r w:rsidR="00F41F8E">
        <w:rPr>
          <w:lang w:val="fr-FR"/>
        </w:rPr>
        <w:t> </w:t>
      </w:r>
      <w:r w:rsidRPr="00616CB9">
        <w:rPr>
          <w:lang w:val="fr-FR"/>
        </w:rPr>
        <w:t>2, du RDMUE, la demande peut inclure une revendication selon laquelle le signe a acquis un caractère distinctif par l’usage au sens de l’article</w:t>
      </w:r>
      <w:r w:rsidR="00F41F8E">
        <w:rPr>
          <w:lang w:val="fr-FR"/>
        </w:rPr>
        <w:t> </w:t>
      </w:r>
      <w:r w:rsidRPr="00616CB9">
        <w:rPr>
          <w:lang w:val="fr-FR"/>
        </w:rPr>
        <w:t>7, paragraphe</w:t>
      </w:r>
      <w:r w:rsidR="00F41F8E">
        <w:rPr>
          <w:lang w:val="fr-FR"/>
        </w:rPr>
        <w:t> </w:t>
      </w:r>
      <w:r w:rsidRPr="00616CB9">
        <w:rPr>
          <w:lang w:val="fr-FR"/>
        </w:rPr>
        <w:t>3, du RMUE, ainsi qu’une indication du caractère principal ou subsidiaire de cette revendication.</w:t>
      </w:r>
    </w:p>
    <w:p w14:paraId="14DF7E97" w14:textId="77777777" w:rsidR="00250EC4" w:rsidRPr="00616CB9" w:rsidRDefault="00250EC4" w:rsidP="00250EC4">
      <w:pPr>
        <w:pStyle w:val="Numbered1"/>
        <w:rPr>
          <w:lang w:val="fr-FR"/>
        </w:rPr>
      </w:pPr>
      <w:r w:rsidRPr="00616CB9">
        <w:rPr>
          <w:lang w:val="fr-FR"/>
        </w:rPr>
        <w:t xml:space="preserve">La </w:t>
      </w:r>
      <w:r>
        <w:rPr>
          <w:lang w:val="fr-FR"/>
        </w:rPr>
        <w:t>demanderesse</w:t>
      </w:r>
      <w:r w:rsidRPr="00616CB9">
        <w:rPr>
          <w:lang w:val="fr-FR"/>
        </w:rPr>
        <w:t xml:space="preserve"> doit apporter la preuve concrète et matérielle que la marque a acquis un caractère distinctif par l’usage qui en a été fait (30/11/2017</w:t>
      </w:r>
      <w:r w:rsidR="00070603">
        <w:rPr>
          <w:lang w:val="fr-FR"/>
        </w:rPr>
        <w:t>, T</w:t>
      </w:r>
      <w:r w:rsidR="00070603">
        <w:rPr>
          <w:lang w:val="fr-FR"/>
        </w:rPr>
        <w:noBreakHyphen/>
      </w:r>
      <w:r w:rsidRPr="00616CB9">
        <w:rPr>
          <w:lang w:val="fr-FR"/>
        </w:rPr>
        <w:t xml:space="preserve">798/16, REAL (fig.), </w:t>
      </w:r>
      <w:proofErr w:type="gramStart"/>
      <w:r w:rsidRPr="00616CB9">
        <w:rPr>
          <w:lang w:val="fr-FR"/>
        </w:rPr>
        <w:t>EU:T</w:t>
      </w:r>
      <w:proofErr w:type="gramEnd"/>
      <w:r w:rsidRPr="00616CB9">
        <w:rPr>
          <w:lang w:val="fr-FR"/>
        </w:rPr>
        <w:t>:</w:t>
      </w:r>
      <w:proofErr w:type="gramStart"/>
      <w:r w:rsidRPr="00616CB9">
        <w:rPr>
          <w:lang w:val="fr-FR"/>
        </w:rPr>
        <w:t>2017:</w:t>
      </w:r>
      <w:proofErr w:type="gramEnd"/>
      <w:r w:rsidRPr="00616CB9">
        <w:rPr>
          <w:lang w:val="fr-FR"/>
        </w:rPr>
        <w:t>854, §</w:t>
      </w:r>
      <w:r w:rsidR="00F41F8E">
        <w:rPr>
          <w:lang w:val="fr-FR"/>
        </w:rPr>
        <w:t> </w:t>
      </w:r>
      <w:r w:rsidRPr="00616CB9">
        <w:rPr>
          <w:lang w:val="fr-FR"/>
        </w:rPr>
        <w:t xml:space="preserve">45, et la jurisprudence citée). </w:t>
      </w:r>
      <w:r w:rsidR="005D2275">
        <w:rPr>
          <w:lang w:val="fr-FR"/>
        </w:rPr>
        <w:t>L</w:t>
      </w:r>
      <w:r w:rsidRPr="00616CB9">
        <w:rPr>
          <w:lang w:val="fr-FR"/>
        </w:rPr>
        <w:t xml:space="preserve">’usage </w:t>
      </w:r>
      <w:r w:rsidR="005D2275">
        <w:rPr>
          <w:lang w:val="fr-FR"/>
        </w:rPr>
        <w:t xml:space="preserve">sérieux </w:t>
      </w:r>
      <w:r w:rsidRPr="00616CB9">
        <w:rPr>
          <w:lang w:val="fr-FR"/>
        </w:rPr>
        <w:t>ne peut être démontré par des probabilités ou des présomptions (29/06/2017, T</w:t>
      </w:r>
      <w:r w:rsidR="00070603">
        <w:rPr>
          <w:lang w:val="fr-FR"/>
        </w:rPr>
        <w:noBreakHyphen/>
      </w:r>
      <w:r w:rsidR="00070603" w:rsidRPr="00616CB9">
        <w:rPr>
          <w:lang w:val="fr-FR"/>
        </w:rPr>
        <w:t>4</w:t>
      </w:r>
      <w:r w:rsidRPr="00616CB9">
        <w:rPr>
          <w:lang w:val="fr-FR"/>
        </w:rPr>
        <w:t xml:space="preserve">27/16, AN IDEAL WIFE, </w:t>
      </w:r>
      <w:proofErr w:type="gramStart"/>
      <w:r w:rsidRPr="00616CB9">
        <w:rPr>
          <w:lang w:val="fr-FR"/>
        </w:rPr>
        <w:t>EU:T</w:t>
      </w:r>
      <w:proofErr w:type="gramEnd"/>
      <w:r w:rsidRPr="00616CB9">
        <w:rPr>
          <w:lang w:val="fr-FR"/>
        </w:rPr>
        <w:t>:</w:t>
      </w:r>
      <w:proofErr w:type="gramStart"/>
      <w:r w:rsidRPr="00616CB9">
        <w:rPr>
          <w:lang w:val="fr-FR"/>
        </w:rPr>
        <w:t>2017:</w:t>
      </w:r>
      <w:proofErr w:type="gramEnd"/>
      <w:r w:rsidRPr="00616CB9">
        <w:rPr>
          <w:lang w:val="fr-FR"/>
        </w:rPr>
        <w:t>455, §</w:t>
      </w:r>
      <w:r w:rsidR="00F41F8E">
        <w:rPr>
          <w:lang w:val="fr-FR"/>
        </w:rPr>
        <w:t> </w:t>
      </w:r>
      <w:r w:rsidRPr="00616CB9">
        <w:rPr>
          <w:lang w:val="fr-FR"/>
        </w:rPr>
        <w:t>21).</w:t>
      </w:r>
    </w:p>
    <w:p w14:paraId="5D08311C" w14:textId="77777777" w:rsidR="00250EC4" w:rsidRPr="00616CB9" w:rsidRDefault="00250EC4" w:rsidP="00250EC4">
      <w:pPr>
        <w:pStyle w:val="Numbered1"/>
        <w:rPr>
          <w:lang w:val="fr-FR"/>
        </w:rPr>
      </w:pPr>
      <w:r w:rsidRPr="00616CB9">
        <w:rPr>
          <w:lang w:val="fr-FR"/>
        </w:rPr>
        <w:t xml:space="preserve">De plus, la </w:t>
      </w:r>
      <w:r>
        <w:rPr>
          <w:lang w:val="fr-FR"/>
        </w:rPr>
        <w:t>demanderesse</w:t>
      </w:r>
      <w:r w:rsidRPr="00616CB9">
        <w:rPr>
          <w:lang w:val="fr-FR"/>
        </w:rPr>
        <w:t xml:space="preserve"> doit démontrer que la marque a acquis un caractère distinctif sur l’ensemble du territoire dans lequel elle était </w:t>
      </w:r>
      <w:r w:rsidRPr="00616CB9">
        <w:rPr>
          <w:i/>
          <w:iCs/>
          <w:lang w:val="fr-FR"/>
        </w:rPr>
        <w:t>ab initio</w:t>
      </w:r>
      <w:r w:rsidRPr="00616CB9">
        <w:rPr>
          <w:lang w:val="fr-FR"/>
        </w:rPr>
        <w:t xml:space="preserve"> dépourvue de caractère distinctif (22/06/2006, C</w:t>
      </w:r>
      <w:r w:rsidR="00070603">
        <w:rPr>
          <w:lang w:val="fr-FR"/>
        </w:rPr>
        <w:noBreakHyphen/>
      </w:r>
      <w:r w:rsidR="00070603" w:rsidRPr="00616CB9">
        <w:rPr>
          <w:lang w:val="fr-FR"/>
        </w:rPr>
        <w:t>2</w:t>
      </w:r>
      <w:r w:rsidRPr="00616CB9">
        <w:rPr>
          <w:lang w:val="fr-FR"/>
        </w:rPr>
        <w:t>5/05</w:t>
      </w:r>
      <w:r w:rsidR="00070603">
        <w:rPr>
          <w:lang w:val="fr-FR"/>
        </w:rPr>
        <w:t> P</w:t>
      </w:r>
      <w:r w:rsidR="00070603" w:rsidRPr="00616CB9">
        <w:rPr>
          <w:lang w:val="fr-FR"/>
        </w:rPr>
        <w:t xml:space="preserve">, </w:t>
      </w:r>
      <w:proofErr w:type="spellStart"/>
      <w:r w:rsidRPr="00616CB9">
        <w:rPr>
          <w:lang w:val="fr-FR"/>
        </w:rPr>
        <w:t>Bonbonverpackung</w:t>
      </w:r>
      <w:proofErr w:type="spellEnd"/>
      <w:r w:rsidRPr="00616CB9">
        <w:rPr>
          <w:lang w:val="fr-FR"/>
        </w:rPr>
        <w:t>, EU:C:2006:422, §</w:t>
      </w:r>
      <w:r w:rsidR="005D2275">
        <w:rPr>
          <w:lang w:val="fr-FR"/>
        </w:rPr>
        <w:t> </w:t>
      </w:r>
      <w:r w:rsidRPr="00616CB9">
        <w:rPr>
          <w:lang w:val="fr-FR"/>
        </w:rPr>
        <w:t xml:space="preserve">83, </w:t>
      </w:r>
      <w:r w:rsidR="005D2275" w:rsidRPr="00616CB9">
        <w:rPr>
          <w:lang w:val="fr-FR"/>
        </w:rPr>
        <w:t>§</w:t>
      </w:r>
      <w:r w:rsidR="005D2275">
        <w:rPr>
          <w:lang w:val="fr-FR"/>
        </w:rPr>
        <w:t> </w:t>
      </w:r>
      <w:r w:rsidRPr="00616CB9">
        <w:rPr>
          <w:lang w:val="fr-FR"/>
        </w:rPr>
        <w:t>86; 07/09/2006, C</w:t>
      </w:r>
      <w:r w:rsidR="00070603">
        <w:rPr>
          <w:lang w:val="fr-FR"/>
        </w:rPr>
        <w:noBreakHyphen/>
      </w:r>
      <w:r w:rsidR="00070603" w:rsidRPr="00616CB9">
        <w:rPr>
          <w:lang w:val="fr-FR"/>
        </w:rPr>
        <w:t>1</w:t>
      </w:r>
      <w:r w:rsidRPr="00616CB9">
        <w:rPr>
          <w:lang w:val="fr-FR"/>
        </w:rPr>
        <w:t xml:space="preserve">08/05, </w:t>
      </w:r>
      <w:proofErr w:type="spellStart"/>
      <w:r w:rsidRPr="00616CB9">
        <w:rPr>
          <w:lang w:val="fr-FR"/>
        </w:rPr>
        <w:t>Europolis</w:t>
      </w:r>
      <w:proofErr w:type="spellEnd"/>
      <w:r w:rsidRPr="00616CB9">
        <w:rPr>
          <w:lang w:val="fr-FR"/>
        </w:rPr>
        <w:t>, EU:C:2006:530, §</w:t>
      </w:r>
      <w:r w:rsidR="005D2275">
        <w:rPr>
          <w:lang w:val="fr-FR"/>
        </w:rPr>
        <w:t> </w:t>
      </w:r>
      <w:r w:rsidRPr="00616CB9">
        <w:rPr>
          <w:lang w:val="fr-FR"/>
        </w:rPr>
        <w:t>28; 29/09/2010, T</w:t>
      </w:r>
      <w:r w:rsidR="00070603">
        <w:rPr>
          <w:lang w:val="fr-FR"/>
        </w:rPr>
        <w:noBreakHyphen/>
      </w:r>
      <w:r w:rsidR="00070603" w:rsidRPr="00616CB9">
        <w:rPr>
          <w:lang w:val="fr-FR"/>
        </w:rPr>
        <w:t>3</w:t>
      </w:r>
      <w:r w:rsidRPr="00616CB9">
        <w:rPr>
          <w:lang w:val="fr-FR"/>
        </w:rPr>
        <w:t>78/07, Représentation d’un tracteur en rouge, noir et gris, EU:T:2010:413, §</w:t>
      </w:r>
      <w:r w:rsidR="005D2275">
        <w:rPr>
          <w:lang w:val="fr-FR"/>
        </w:rPr>
        <w:t> </w:t>
      </w:r>
      <w:r w:rsidRPr="00616CB9">
        <w:rPr>
          <w:lang w:val="fr-FR"/>
        </w:rPr>
        <w:t xml:space="preserve">30), </w:t>
      </w:r>
      <w:r w:rsidR="005D2275">
        <w:rPr>
          <w:lang w:val="fr-FR"/>
        </w:rPr>
        <w:t xml:space="preserve">dans </w:t>
      </w:r>
      <w:r w:rsidRPr="00616CB9">
        <w:rPr>
          <w:lang w:val="fr-FR"/>
        </w:rPr>
        <w:t xml:space="preserve">une partie </w:t>
      </w:r>
      <w:r w:rsidR="005D2275">
        <w:rPr>
          <w:lang w:val="fr-FR"/>
        </w:rPr>
        <w:t xml:space="preserve">substantielle </w:t>
      </w:r>
      <w:r w:rsidRPr="00616CB9">
        <w:rPr>
          <w:lang w:val="fr-FR"/>
        </w:rPr>
        <w:t xml:space="preserve">de l'Union européenne </w:t>
      </w:r>
      <w:r w:rsidR="00BD17E7">
        <w:rPr>
          <w:lang w:val="fr-FR"/>
        </w:rPr>
        <w:t>représentant</w:t>
      </w:r>
      <w:r w:rsidRPr="00616CB9">
        <w:rPr>
          <w:lang w:val="fr-FR"/>
        </w:rPr>
        <w:t xml:space="preserve"> un ou plusieurs États membres (07/09/2006, C</w:t>
      </w:r>
      <w:r w:rsidR="00070603">
        <w:rPr>
          <w:lang w:val="fr-FR"/>
        </w:rPr>
        <w:noBreakHyphen/>
      </w:r>
      <w:r w:rsidR="00070603" w:rsidRPr="00616CB9">
        <w:rPr>
          <w:lang w:val="fr-FR"/>
        </w:rPr>
        <w:t>1</w:t>
      </w:r>
      <w:r w:rsidRPr="00616CB9">
        <w:rPr>
          <w:lang w:val="fr-FR"/>
        </w:rPr>
        <w:t xml:space="preserve">08/05, </w:t>
      </w:r>
      <w:proofErr w:type="spellStart"/>
      <w:r w:rsidRPr="00616CB9">
        <w:rPr>
          <w:lang w:val="fr-FR"/>
        </w:rPr>
        <w:t>Europolis</w:t>
      </w:r>
      <w:proofErr w:type="spellEnd"/>
      <w:r w:rsidRPr="00616CB9">
        <w:rPr>
          <w:lang w:val="fr-FR"/>
        </w:rPr>
        <w:t>, EU:C:2006:530, §</w:t>
      </w:r>
      <w:r w:rsidR="005D2275">
        <w:rPr>
          <w:lang w:val="fr-FR"/>
        </w:rPr>
        <w:t> </w:t>
      </w:r>
      <w:r w:rsidRPr="00616CB9">
        <w:rPr>
          <w:lang w:val="fr-FR"/>
        </w:rPr>
        <w:t>28; 30/03/2000</w:t>
      </w:r>
      <w:r w:rsidR="00070603">
        <w:rPr>
          <w:lang w:val="fr-FR"/>
        </w:rPr>
        <w:t>, T</w:t>
      </w:r>
      <w:r w:rsidR="00070603">
        <w:rPr>
          <w:lang w:val="fr-FR"/>
        </w:rPr>
        <w:noBreakHyphen/>
      </w:r>
      <w:r w:rsidRPr="00616CB9">
        <w:rPr>
          <w:lang w:val="fr-FR"/>
        </w:rPr>
        <w:t>91/99, Options, EU:T:2000:95, §</w:t>
      </w:r>
      <w:r w:rsidR="00BD17E7">
        <w:rPr>
          <w:lang w:val="fr-FR"/>
        </w:rPr>
        <w:t> </w:t>
      </w:r>
      <w:r w:rsidRPr="00616CB9">
        <w:rPr>
          <w:lang w:val="fr-FR"/>
        </w:rPr>
        <w:t>27).</w:t>
      </w:r>
    </w:p>
    <w:p w14:paraId="1E50D93D" w14:textId="77777777" w:rsidR="00250EC4" w:rsidRPr="00296970" w:rsidRDefault="00250EC4" w:rsidP="00250EC4">
      <w:pPr>
        <w:pStyle w:val="Numbered1"/>
        <w:rPr>
          <w:lang w:val="fr-FR"/>
        </w:rPr>
      </w:pPr>
      <w:r w:rsidRPr="00616CB9">
        <w:rPr>
          <w:lang w:val="fr-FR"/>
        </w:rPr>
        <w:t xml:space="preserve">L’acquisition d’un caractère distinctif par l’usage de la marque exige qu’au moins une fraction significative du public </w:t>
      </w:r>
      <w:r w:rsidRPr="00296970">
        <w:rPr>
          <w:lang w:val="fr-FR"/>
        </w:rPr>
        <w:t>pertinent identifie grâce à la marque les produits concernés comme provenant d’une entreprise déterminée (23/02/2021</w:t>
      </w:r>
      <w:r w:rsidR="00070603">
        <w:rPr>
          <w:lang w:val="fr-FR"/>
        </w:rPr>
        <w:t>, T</w:t>
      </w:r>
      <w:r w:rsidR="00070603">
        <w:rPr>
          <w:lang w:val="fr-FR"/>
        </w:rPr>
        <w:noBreakHyphen/>
      </w:r>
      <w:r w:rsidRPr="00296970">
        <w:rPr>
          <w:lang w:val="fr-FR"/>
        </w:rPr>
        <w:t xml:space="preserve">809/19, El Clasico, </w:t>
      </w:r>
      <w:proofErr w:type="gramStart"/>
      <w:r w:rsidRPr="00296970">
        <w:rPr>
          <w:lang w:val="fr-FR"/>
        </w:rPr>
        <w:t>EU:T</w:t>
      </w:r>
      <w:proofErr w:type="gramEnd"/>
      <w:r w:rsidRPr="00296970">
        <w:rPr>
          <w:lang w:val="fr-FR"/>
        </w:rPr>
        <w:t>:</w:t>
      </w:r>
      <w:proofErr w:type="gramStart"/>
      <w:r w:rsidRPr="00296970">
        <w:rPr>
          <w:lang w:val="fr-FR"/>
        </w:rPr>
        <w:t>2021:</w:t>
      </w:r>
      <w:proofErr w:type="gramEnd"/>
      <w:r w:rsidRPr="00296970">
        <w:rPr>
          <w:lang w:val="fr-FR"/>
        </w:rPr>
        <w:t>100, §</w:t>
      </w:r>
      <w:r w:rsidR="00BD17E7">
        <w:rPr>
          <w:lang w:val="fr-FR"/>
        </w:rPr>
        <w:t> </w:t>
      </w:r>
      <w:r w:rsidRPr="00296970">
        <w:rPr>
          <w:lang w:val="fr-FR"/>
        </w:rPr>
        <w:t>84).</w:t>
      </w:r>
    </w:p>
    <w:p w14:paraId="1EAAB960" w14:textId="77777777" w:rsidR="00250EC4" w:rsidRPr="00296970" w:rsidRDefault="00250EC4" w:rsidP="00296970">
      <w:pPr>
        <w:pStyle w:val="Numbered1"/>
        <w:rPr>
          <w:lang w:val="fr-FR"/>
        </w:rPr>
      </w:pPr>
      <w:r w:rsidRPr="00296970">
        <w:rPr>
          <w:lang w:val="fr-FR"/>
        </w:rPr>
        <w:t xml:space="preserve">Étant donné qu’il a été considéré que la demande de marque contestée était dépourvue de caractère distinctif </w:t>
      </w:r>
      <w:r w:rsidR="000A1094" w:rsidRPr="00296970">
        <w:rPr>
          <w:lang w:val="fr-FR"/>
        </w:rPr>
        <w:t>intrinsèque pour les consommateurs de l’Union Européenne, la demanderesse devait démontrer que la marque avait acquis un caractère distinctif pour une partie significative du public pertinent dans l’ensemble de l’Union Européenne.</w:t>
      </w:r>
    </w:p>
    <w:p w14:paraId="169664E7" w14:textId="77777777" w:rsidR="00250EC4" w:rsidRPr="00296970" w:rsidRDefault="00250EC4" w:rsidP="00250EC4">
      <w:pPr>
        <w:pStyle w:val="Numbered1"/>
        <w:rPr>
          <w:lang w:val="fr-FR"/>
        </w:rPr>
      </w:pPr>
      <w:r w:rsidRPr="00296970">
        <w:rPr>
          <w:lang w:val="fr-FR"/>
        </w:rPr>
        <w:t>Aux fins de l'article</w:t>
      </w:r>
      <w:r w:rsidR="00BD17E7">
        <w:rPr>
          <w:lang w:val="fr-FR"/>
        </w:rPr>
        <w:t> </w:t>
      </w:r>
      <w:r w:rsidRPr="00296970">
        <w:rPr>
          <w:lang w:val="fr-FR"/>
        </w:rPr>
        <w:t>7, paragraphe</w:t>
      </w:r>
      <w:r w:rsidR="00BD17E7">
        <w:rPr>
          <w:lang w:val="fr-FR"/>
        </w:rPr>
        <w:t> </w:t>
      </w:r>
      <w:r w:rsidRPr="00296970">
        <w:rPr>
          <w:lang w:val="fr-FR"/>
        </w:rPr>
        <w:t>3, du RMUE, le signe doit avoir acquis un caractère distinctif par l'usage avant la date de dépôt de la demande d'enregistrement (12/12/2002, T</w:t>
      </w:r>
      <w:r w:rsidR="00070603">
        <w:rPr>
          <w:lang w:val="fr-FR"/>
        </w:rPr>
        <w:noBreakHyphen/>
      </w:r>
      <w:r w:rsidR="00070603" w:rsidRPr="00296970">
        <w:rPr>
          <w:lang w:val="fr-FR"/>
        </w:rPr>
        <w:t>2</w:t>
      </w:r>
      <w:r w:rsidRPr="00296970">
        <w:rPr>
          <w:lang w:val="fr-FR"/>
        </w:rPr>
        <w:t xml:space="preserve">47/01, </w:t>
      </w:r>
      <w:proofErr w:type="spellStart"/>
      <w:r w:rsidRPr="00296970">
        <w:rPr>
          <w:lang w:val="fr-FR"/>
        </w:rPr>
        <w:t>Ecopy</w:t>
      </w:r>
      <w:proofErr w:type="spellEnd"/>
      <w:r w:rsidRPr="00296970">
        <w:rPr>
          <w:lang w:val="fr-FR"/>
        </w:rPr>
        <w:t xml:space="preserve">, </w:t>
      </w:r>
      <w:proofErr w:type="gramStart"/>
      <w:r w:rsidRPr="00296970">
        <w:rPr>
          <w:lang w:val="fr-FR"/>
        </w:rPr>
        <w:t>EU:T</w:t>
      </w:r>
      <w:proofErr w:type="gramEnd"/>
      <w:r w:rsidRPr="00296970">
        <w:rPr>
          <w:lang w:val="fr-FR"/>
        </w:rPr>
        <w:t>:</w:t>
      </w:r>
      <w:proofErr w:type="gramStart"/>
      <w:r w:rsidRPr="00296970">
        <w:rPr>
          <w:lang w:val="fr-FR"/>
        </w:rPr>
        <w:t>2002:</w:t>
      </w:r>
      <w:proofErr w:type="gramEnd"/>
      <w:r w:rsidRPr="00296970">
        <w:rPr>
          <w:lang w:val="fr-FR"/>
        </w:rPr>
        <w:t>319, §</w:t>
      </w:r>
      <w:r w:rsidR="00BD17E7">
        <w:rPr>
          <w:lang w:val="fr-FR"/>
        </w:rPr>
        <w:t> </w:t>
      </w:r>
      <w:r w:rsidRPr="00296970">
        <w:rPr>
          <w:lang w:val="fr-FR"/>
        </w:rPr>
        <w:t>36), à savoir en l’espèce avant le 2</w:t>
      </w:r>
      <w:r w:rsidR="00F84664" w:rsidRPr="00296970">
        <w:rPr>
          <w:lang w:val="fr-FR"/>
        </w:rPr>
        <w:t>2</w:t>
      </w:r>
      <w:r w:rsidR="00BD17E7">
        <w:rPr>
          <w:lang w:val="fr-FR"/>
        </w:rPr>
        <w:t> </w:t>
      </w:r>
      <w:r w:rsidR="00F84664" w:rsidRPr="00296970">
        <w:rPr>
          <w:lang w:val="fr-FR"/>
        </w:rPr>
        <w:t>septembre</w:t>
      </w:r>
      <w:r w:rsidR="00BD17E7">
        <w:rPr>
          <w:lang w:val="fr-FR"/>
        </w:rPr>
        <w:t> </w:t>
      </w:r>
      <w:r w:rsidRPr="00296970">
        <w:rPr>
          <w:lang w:val="fr-FR"/>
        </w:rPr>
        <w:t>202</w:t>
      </w:r>
      <w:r w:rsidR="00F84664" w:rsidRPr="00296970">
        <w:rPr>
          <w:lang w:val="fr-FR"/>
        </w:rPr>
        <w:t>1</w:t>
      </w:r>
      <w:r w:rsidRPr="00296970">
        <w:rPr>
          <w:lang w:val="fr-FR"/>
        </w:rPr>
        <w:t>.</w:t>
      </w:r>
    </w:p>
    <w:p w14:paraId="22A9C145" w14:textId="77777777" w:rsidR="00250EC4" w:rsidRPr="00616CB9" w:rsidRDefault="00250EC4" w:rsidP="00F42AAF">
      <w:pPr>
        <w:pStyle w:val="Titre2"/>
        <w:rPr>
          <w:lang w:val="fr-FR"/>
        </w:rPr>
      </w:pPr>
      <w:r w:rsidRPr="00296970">
        <w:rPr>
          <w:lang w:val="fr-FR"/>
        </w:rPr>
        <w:lastRenderedPageBreak/>
        <w:t>Appréciation des éléments de preuve</w:t>
      </w:r>
    </w:p>
    <w:p w14:paraId="65683541" w14:textId="77777777" w:rsidR="00250EC4" w:rsidRPr="00616CB9" w:rsidRDefault="00250EC4" w:rsidP="00F42AAF">
      <w:pPr>
        <w:pStyle w:val="Numbered1"/>
        <w:keepNext/>
        <w:keepLines/>
        <w:rPr>
          <w:lang w:val="fr-FR"/>
        </w:rPr>
      </w:pPr>
      <w:r w:rsidRPr="00616CB9">
        <w:rPr>
          <w:lang w:val="fr-FR"/>
        </w:rPr>
        <w:t>Il convient de tenir compte, aux fins de l’appréciation, dans un cas d’espèce, de l’acquisition d’un caractère distinctif par l’usage, de facteurs tels que, notamment, la part de marché détenue par la marque, l’intensité, l’étendue géographique et la durée de l’usage de cette marque et l’importance des investissements faits par l’entreprise pour la promouvoir. Des moyens de preuves appropriés à cet égard sont, notamment, des déclarations de chambres de commerce et d’industrie ou d’autres associations professionnelles ainsi que des sondages d’opinion (19/05/2009, T</w:t>
      </w:r>
      <w:r w:rsidR="00070603">
        <w:rPr>
          <w:lang w:val="fr-FR"/>
        </w:rPr>
        <w:noBreakHyphen/>
      </w:r>
      <w:r w:rsidR="00070603" w:rsidRPr="00616CB9">
        <w:rPr>
          <w:lang w:val="fr-FR"/>
        </w:rPr>
        <w:t>2</w:t>
      </w:r>
      <w:r w:rsidRPr="00616CB9">
        <w:rPr>
          <w:lang w:val="fr-FR"/>
        </w:rPr>
        <w:t>11/06, T</w:t>
      </w:r>
      <w:r w:rsidR="00070603">
        <w:rPr>
          <w:lang w:val="fr-FR"/>
        </w:rPr>
        <w:noBreakHyphen/>
      </w:r>
      <w:r w:rsidR="00070603" w:rsidRPr="00616CB9">
        <w:rPr>
          <w:lang w:val="fr-FR"/>
        </w:rPr>
        <w:t>2</w:t>
      </w:r>
      <w:r w:rsidRPr="00616CB9">
        <w:rPr>
          <w:lang w:val="fr-FR"/>
        </w:rPr>
        <w:t>13/06, T</w:t>
      </w:r>
      <w:r w:rsidR="00F42AAF">
        <w:rPr>
          <w:lang w:val="fr-FR"/>
        </w:rPr>
        <w:noBreakHyphen/>
      </w:r>
      <w:r w:rsidRPr="00616CB9">
        <w:rPr>
          <w:lang w:val="fr-FR"/>
        </w:rPr>
        <w:t>245/06, T</w:t>
      </w:r>
      <w:r w:rsidR="00070603">
        <w:rPr>
          <w:lang w:val="fr-FR"/>
        </w:rPr>
        <w:noBreakHyphen/>
      </w:r>
      <w:r w:rsidR="00070603" w:rsidRPr="00616CB9">
        <w:rPr>
          <w:lang w:val="fr-FR"/>
        </w:rPr>
        <w:t>1</w:t>
      </w:r>
      <w:r w:rsidRPr="00616CB9">
        <w:rPr>
          <w:lang w:val="fr-FR"/>
        </w:rPr>
        <w:t>55/07 &amp; T</w:t>
      </w:r>
      <w:r w:rsidR="00070603">
        <w:rPr>
          <w:lang w:val="fr-FR"/>
        </w:rPr>
        <w:noBreakHyphen/>
      </w:r>
      <w:r w:rsidR="00070603" w:rsidRPr="00616CB9">
        <w:rPr>
          <w:lang w:val="fr-FR"/>
        </w:rPr>
        <w:t>1</w:t>
      </w:r>
      <w:r w:rsidRPr="00616CB9">
        <w:rPr>
          <w:lang w:val="fr-FR"/>
        </w:rPr>
        <w:t xml:space="preserve">78/07, </w:t>
      </w:r>
      <w:proofErr w:type="spellStart"/>
      <w:r w:rsidRPr="00616CB9">
        <w:rPr>
          <w:lang w:val="fr-FR"/>
        </w:rPr>
        <w:t>Cybercrédit</w:t>
      </w:r>
      <w:proofErr w:type="spellEnd"/>
      <w:r w:rsidRPr="00616CB9">
        <w:rPr>
          <w:lang w:val="fr-FR"/>
        </w:rPr>
        <w:t xml:space="preserve"> et al., </w:t>
      </w:r>
      <w:proofErr w:type="gramStart"/>
      <w:r w:rsidRPr="00616CB9">
        <w:rPr>
          <w:lang w:val="fr-FR"/>
        </w:rPr>
        <w:t>EU:T</w:t>
      </w:r>
      <w:proofErr w:type="gramEnd"/>
      <w:r w:rsidRPr="00616CB9">
        <w:rPr>
          <w:lang w:val="fr-FR"/>
        </w:rPr>
        <w:t>:</w:t>
      </w:r>
      <w:proofErr w:type="gramStart"/>
      <w:r w:rsidRPr="00616CB9">
        <w:rPr>
          <w:lang w:val="fr-FR"/>
        </w:rPr>
        <w:t>2009:</w:t>
      </w:r>
      <w:proofErr w:type="gramEnd"/>
      <w:r w:rsidRPr="00616CB9">
        <w:rPr>
          <w:lang w:val="fr-FR"/>
        </w:rPr>
        <w:t>160, §</w:t>
      </w:r>
      <w:r w:rsidR="00BD17E7">
        <w:rPr>
          <w:lang w:val="fr-FR"/>
        </w:rPr>
        <w:t> </w:t>
      </w:r>
      <w:r w:rsidRPr="00616CB9">
        <w:rPr>
          <w:lang w:val="fr-FR"/>
        </w:rPr>
        <w:t>52).</w:t>
      </w:r>
    </w:p>
    <w:p w14:paraId="69CFD980" w14:textId="77777777" w:rsidR="00250EC4" w:rsidRPr="00616CB9" w:rsidRDefault="00250EC4" w:rsidP="00250EC4">
      <w:pPr>
        <w:pStyle w:val="Numbered1"/>
        <w:rPr>
          <w:lang w:val="fr-FR"/>
        </w:rPr>
      </w:pPr>
      <w:r w:rsidRPr="00616CB9">
        <w:rPr>
          <w:lang w:val="fr-FR"/>
        </w:rPr>
        <w:t>Pour déterminer si une marque a acquis un caractère distinctif après l’usage qui en a été fait, la Chambre doit apprécier globalement les éléments qui peuvent démontrer que la marque a acquis la capacité de permettre au public pertinent d’identifier les produits concernés comme provenant d’une entreprise déterminée et donc à distinguer ces produits de ceux d’autres entreprises (23/02/2021</w:t>
      </w:r>
      <w:r w:rsidR="00070603">
        <w:rPr>
          <w:lang w:val="fr-FR"/>
        </w:rPr>
        <w:t>, T</w:t>
      </w:r>
      <w:r w:rsidR="00070603">
        <w:rPr>
          <w:lang w:val="fr-FR"/>
        </w:rPr>
        <w:noBreakHyphen/>
      </w:r>
      <w:r w:rsidRPr="00616CB9">
        <w:rPr>
          <w:lang w:val="fr-FR"/>
        </w:rPr>
        <w:t xml:space="preserve">809/19, El Clasico, </w:t>
      </w:r>
      <w:proofErr w:type="gramStart"/>
      <w:r w:rsidRPr="00616CB9">
        <w:rPr>
          <w:lang w:val="fr-FR"/>
        </w:rPr>
        <w:t>EU:T</w:t>
      </w:r>
      <w:proofErr w:type="gramEnd"/>
      <w:r w:rsidRPr="00616CB9">
        <w:rPr>
          <w:lang w:val="fr-FR"/>
        </w:rPr>
        <w:t>:</w:t>
      </w:r>
      <w:proofErr w:type="gramStart"/>
      <w:r w:rsidRPr="00616CB9">
        <w:rPr>
          <w:lang w:val="fr-FR"/>
        </w:rPr>
        <w:t>2021:</w:t>
      </w:r>
      <w:proofErr w:type="gramEnd"/>
      <w:r w:rsidRPr="00616CB9">
        <w:rPr>
          <w:lang w:val="fr-FR"/>
        </w:rPr>
        <w:t>100, §</w:t>
      </w:r>
      <w:r w:rsidR="00184CC9">
        <w:rPr>
          <w:lang w:val="fr-FR"/>
        </w:rPr>
        <w:t> </w:t>
      </w:r>
      <w:r w:rsidRPr="00616CB9">
        <w:rPr>
          <w:lang w:val="fr-FR"/>
        </w:rPr>
        <w:t>86).</w:t>
      </w:r>
    </w:p>
    <w:p w14:paraId="65D7EA00" w14:textId="77777777" w:rsidR="00D4347B" w:rsidRPr="00296172" w:rsidRDefault="00250EC4" w:rsidP="00296172">
      <w:pPr>
        <w:pStyle w:val="Numbered1"/>
        <w:rPr>
          <w:lang w:val="fr-FR"/>
        </w:rPr>
      </w:pPr>
      <w:r>
        <w:rPr>
          <w:lang w:val="fr-FR"/>
        </w:rPr>
        <w:t xml:space="preserve">Après avoir examiné les pièces et les arguments présentés par la demanderesse, la Chambre est d’avis que l’examinateur a correctement considéré que, bien que ces éléments établissent un certain usage de la marque </w:t>
      </w:r>
      <w:r w:rsidR="00296970" w:rsidRPr="00296970">
        <w:rPr>
          <w:lang w:val="fr-FR"/>
        </w:rPr>
        <w:t>en langue française</w:t>
      </w:r>
      <w:r w:rsidR="00296970">
        <w:rPr>
          <w:lang w:val="fr-FR"/>
        </w:rPr>
        <w:t xml:space="preserve">, lesdits éléments </w:t>
      </w:r>
      <w:r w:rsidR="00296970" w:rsidRPr="00296970">
        <w:rPr>
          <w:lang w:val="fr-FR"/>
        </w:rPr>
        <w:t>ne peu</w:t>
      </w:r>
      <w:r w:rsidR="00296970">
        <w:rPr>
          <w:lang w:val="fr-FR"/>
        </w:rPr>
        <w:t>vent</w:t>
      </w:r>
      <w:r w:rsidR="00296970" w:rsidRPr="00296970">
        <w:rPr>
          <w:lang w:val="fr-FR"/>
        </w:rPr>
        <w:t xml:space="preserve"> pas être pris en compte pour tous les territoires de l’Union Européenne o</w:t>
      </w:r>
      <w:r w:rsidR="00184CC9">
        <w:rPr>
          <w:lang w:val="fr-FR"/>
        </w:rPr>
        <w:t>ù</w:t>
      </w:r>
      <w:r w:rsidR="00296970" w:rsidRPr="00296970">
        <w:rPr>
          <w:lang w:val="fr-FR"/>
        </w:rPr>
        <w:t xml:space="preserve"> la langue française n’est pas utilisée par les consommateurs</w:t>
      </w:r>
      <w:r>
        <w:rPr>
          <w:lang w:val="fr-FR"/>
        </w:rPr>
        <w:t>. En particulier, en l’absence d’informations complémentaires provenant d’acteurs tiers à la demanderesse, les documents fournis ne permettent pas d’évaluer le degré de connaissance de la marque et sa perception par le public sur le territoire pertinent.</w:t>
      </w:r>
    </w:p>
    <w:p w14:paraId="2738EE6C" w14:textId="77777777" w:rsidR="00D4347B" w:rsidRPr="00D6290E" w:rsidRDefault="00250EC4" w:rsidP="00D6290E">
      <w:pPr>
        <w:pStyle w:val="Numbered1"/>
        <w:rPr>
          <w:lang w:val="fr-FR"/>
        </w:rPr>
      </w:pPr>
      <w:r>
        <w:rPr>
          <w:lang w:val="fr-FR"/>
        </w:rPr>
        <w:t>En réponse aux constatations de l’examinateur sur l’absence de caractère distinctif acquis par l’usage, la</w:t>
      </w:r>
      <w:r w:rsidRPr="00616CB9">
        <w:rPr>
          <w:lang w:val="fr-FR"/>
        </w:rPr>
        <w:t xml:space="preserve"> demanderesse a produit les </w:t>
      </w:r>
      <w:r w:rsidRPr="00D4347B">
        <w:rPr>
          <w:lang w:val="fr-FR"/>
        </w:rPr>
        <w:t xml:space="preserve">éléments de preuve </w:t>
      </w:r>
      <w:r w:rsidR="00D4347B" w:rsidRPr="00D4347B">
        <w:rPr>
          <w:lang w:val="fr-FR"/>
        </w:rPr>
        <w:t>(Documents A</w:t>
      </w:r>
      <w:r w:rsidR="00070603">
        <w:rPr>
          <w:lang w:val="fr-FR"/>
        </w:rPr>
        <w:noBreakHyphen/>
      </w:r>
      <w:r w:rsidR="00070603" w:rsidRPr="00D4347B">
        <w:rPr>
          <w:lang w:val="fr-FR"/>
        </w:rPr>
        <w:t>G</w:t>
      </w:r>
      <w:r w:rsidR="00D4347B" w:rsidRPr="00D4347B">
        <w:rPr>
          <w:lang w:val="fr-FR"/>
        </w:rPr>
        <w:t>)</w:t>
      </w:r>
      <w:r w:rsidRPr="00D4347B">
        <w:rPr>
          <w:lang w:val="fr-FR"/>
        </w:rPr>
        <w:t xml:space="preserve"> devant</w:t>
      </w:r>
      <w:r>
        <w:rPr>
          <w:lang w:val="fr-FR"/>
        </w:rPr>
        <w:t xml:space="preserve"> la Chambre.</w:t>
      </w:r>
    </w:p>
    <w:p w14:paraId="4E1F78B4" w14:textId="77777777" w:rsidR="00250EC4" w:rsidRPr="00616CB9" w:rsidRDefault="00250EC4" w:rsidP="00250EC4">
      <w:pPr>
        <w:pStyle w:val="Numbered1"/>
        <w:rPr>
          <w:lang w:val="fr-FR"/>
        </w:rPr>
      </w:pPr>
      <w:r w:rsidRPr="00616CB9">
        <w:rPr>
          <w:lang w:val="fr-FR"/>
        </w:rPr>
        <w:t xml:space="preserve">Après </w:t>
      </w:r>
      <w:r>
        <w:rPr>
          <w:lang w:val="fr-FR"/>
        </w:rPr>
        <w:t xml:space="preserve">un </w:t>
      </w:r>
      <w:r w:rsidRPr="00616CB9">
        <w:rPr>
          <w:lang w:val="fr-FR"/>
        </w:rPr>
        <w:t>examen de toutes les pièces soumises, la Chambre considère que la demanderesse n’a pas</w:t>
      </w:r>
      <w:r>
        <w:rPr>
          <w:lang w:val="fr-FR"/>
        </w:rPr>
        <w:t xml:space="preserve"> </w:t>
      </w:r>
      <w:r w:rsidR="0093051B">
        <w:rPr>
          <w:lang w:val="fr-FR"/>
        </w:rPr>
        <w:t xml:space="preserve">été en mesure de </w:t>
      </w:r>
      <w:r w:rsidRPr="00616CB9">
        <w:rPr>
          <w:lang w:val="fr-FR"/>
        </w:rPr>
        <w:t>démontr</w:t>
      </w:r>
      <w:r w:rsidR="0093051B">
        <w:rPr>
          <w:lang w:val="fr-FR"/>
        </w:rPr>
        <w:t>er</w:t>
      </w:r>
      <w:r w:rsidRPr="00616CB9">
        <w:rPr>
          <w:lang w:val="fr-FR"/>
        </w:rPr>
        <w:t xml:space="preserve"> que la demande de marque contestée avait acquis un caractère distinctif par l’usage pour les produits concernés </w:t>
      </w:r>
      <w:r w:rsidR="00A770CB" w:rsidRPr="00A770CB">
        <w:rPr>
          <w:lang w:val="fr-FR"/>
        </w:rPr>
        <w:t>pour tous les territoires de l’Union Européenne o</w:t>
      </w:r>
      <w:r w:rsidR="00A71AFF">
        <w:rPr>
          <w:lang w:val="fr-FR"/>
        </w:rPr>
        <w:t>ù</w:t>
      </w:r>
      <w:r w:rsidR="00A770CB" w:rsidRPr="00A770CB">
        <w:rPr>
          <w:lang w:val="fr-FR"/>
        </w:rPr>
        <w:t xml:space="preserve"> la langue française n’est pas utilisée par les consommateurs</w:t>
      </w:r>
      <w:r w:rsidRPr="00616CB9">
        <w:rPr>
          <w:lang w:val="fr-FR"/>
        </w:rPr>
        <w:t>.</w:t>
      </w:r>
    </w:p>
    <w:p w14:paraId="28667892" w14:textId="77777777" w:rsidR="00250EC4" w:rsidRPr="00721EE2" w:rsidRDefault="00DA3323" w:rsidP="00DA3323">
      <w:pPr>
        <w:pStyle w:val="Numbered1"/>
        <w:rPr>
          <w:lang w:val="fr-FR"/>
        </w:rPr>
      </w:pPr>
      <w:r>
        <w:rPr>
          <w:lang w:val="fr-FR"/>
        </w:rPr>
        <w:t>L</w:t>
      </w:r>
      <w:r w:rsidR="00250EC4" w:rsidRPr="00DA3323">
        <w:rPr>
          <w:lang w:val="fr-FR"/>
        </w:rPr>
        <w:t xml:space="preserve">es pièces présentées </w:t>
      </w:r>
      <w:r>
        <w:rPr>
          <w:lang w:val="fr-FR"/>
        </w:rPr>
        <w:t xml:space="preserve">par la demanderesse </w:t>
      </w:r>
      <w:r w:rsidR="00250EC4" w:rsidRPr="00DA3323">
        <w:rPr>
          <w:lang w:val="fr-FR"/>
        </w:rPr>
        <w:t xml:space="preserve">établissent </w:t>
      </w:r>
      <w:r w:rsidR="00C00DB7">
        <w:rPr>
          <w:lang w:val="fr-FR"/>
        </w:rPr>
        <w:t>un certain usage</w:t>
      </w:r>
      <w:r w:rsidR="00C00DB7" w:rsidRPr="00DA3323">
        <w:rPr>
          <w:lang w:val="fr-FR"/>
        </w:rPr>
        <w:t xml:space="preserve"> </w:t>
      </w:r>
      <w:r w:rsidR="00250EC4" w:rsidRPr="00DA3323">
        <w:rPr>
          <w:lang w:val="fr-FR"/>
        </w:rPr>
        <w:t>de la marque, mais ne permettent pas d’établir qu’à tout le moins une partie significative du public pertinent percevrait le signe demandé comme une marque et non comme un</w:t>
      </w:r>
      <w:r w:rsidR="008F0222" w:rsidRPr="00DA3323">
        <w:rPr>
          <w:lang w:val="fr-FR"/>
        </w:rPr>
        <w:t xml:space="preserve"> signe dépourvu de tout </w:t>
      </w:r>
      <w:r w:rsidR="008F0222" w:rsidRPr="006F52B7">
        <w:rPr>
          <w:lang w:val="fr-FR"/>
        </w:rPr>
        <w:t>caractère distincti</w:t>
      </w:r>
      <w:r w:rsidR="00184CC9">
        <w:rPr>
          <w:lang w:val="fr-FR"/>
        </w:rPr>
        <w:t>f</w:t>
      </w:r>
      <w:r w:rsidR="008F0222" w:rsidRPr="006F52B7">
        <w:rPr>
          <w:lang w:val="fr-FR"/>
        </w:rPr>
        <w:t xml:space="preserve"> pour le</w:t>
      </w:r>
      <w:r w:rsidRPr="006F52B7">
        <w:rPr>
          <w:lang w:val="fr-FR"/>
        </w:rPr>
        <w:t>s produits désignés</w:t>
      </w:r>
      <w:r w:rsidR="00250EC4" w:rsidRPr="006F52B7">
        <w:rPr>
          <w:lang w:val="fr-FR"/>
        </w:rPr>
        <w:t>. En effet, afin d’apprécier le caractère distinctif accru par l’usage au sens de l’article</w:t>
      </w:r>
      <w:r w:rsidR="00184CC9">
        <w:rPr>
          <w:lang w:val="fr-FR"/>
        </w:rPr>
        <w:t> </w:t>
      </w:r>
      <w:r w:rsidR="00250EC4" w:rsidRPr="006F52B7">
        <w:rPr>
          <w:lang w:val="fr-FR"/>
        </w:rPr>
        <w:t>7, paragraphe</w:t>
      </w:r>
      <w:r w:rsidR="00184CC9">
        <w:rPr>
          <w:lang w:val="fr-FR"/>
        </w:rPr>
        <w:t> </w:t>
      </w:r>
      <w:r w:rsidR="00250EC4" w:rsidRPr="006F52B7">
        <w:rPr>
          <w:lang w:val="fr-FR"/>
        </w:rPr>
        <w:t>3, du RMUE</w:t>
      </w:r>
      <w:bookmarkStart w:id="2" w:name="_Hlk182838955"/>
      <w:r w:rsidR="00250EC4" w:rsidRPr="006F52B7">
        <w:rPr>
          <w:lang w:val="fr-FR"/>
        </w:rPr>
        <w:t xml:space="preserve">, la demanderesse </w:t>
      </w:r>
      <w:r w:rsidR="00184CC9">
        <w:rPr>
          <w:lang w:val="fr-FR"/>
        </w:rPr>
        <w:t xml:space="preserve">supporte </w:t>
      </w:r>
      <w:r w:rsidR="00250EC4" w:rsidRPr="006F52B7">
        <w:rPr>
          <w:lang w:val="fr-FR"/>
        </w:rPr>
        <w:t xml:space="preserve">la charge d’établir </w:t>
      </w:r>
      <w:r w:rsidR="00250EC4" w:rsidRPr="00721EE2">
        <w:rPr>
          <w:lang w:val="fr-FR"/>
        </w:rPr>
        <w:t>que le public pertinent perçoit le signe comme une indication de l’origine commerciale des produits désignés.</w:t>
      </w:r>
    </w:p>
    <w:p w14:paraId="7E2C3115" w14:textId="77777777" w:rsidR="006F52B7" w:rsidRPr="00721EE2" w:rsidRDefault="00D6290E" w:rsidP="00DE6D80">
      <w:pPr>
        <w:pStyle w:val="Numbered1"/>
        <w:rPr>
          <w:lang w:val="fr-FR"/>
        </w:rPr>
      </w:pPr>
      <w:r w:rsidRPr="00721EE2">
        <w:rPr>
          <w:lang w:val="fr-FR"/>
        </w:rPr>
        <w:t>L’historique concernant l’usage de la marque des années 1970 au début des années 2000 (Document A), l</w:t>
      </w:r>
      <w:r w:rsidR="00721EE2" w:rsidRPr="00721EE2">
        <w:rPr>
          <w:lang w:val="fr-FR"/>
        </w:rPr>
        <w:t>’</w:t>
      </w:r>
      <w:r w:rsidRPr="00721EE2">
        <w:rPr>
          <w:lang w:val="fr-FR"/>
        </w:rPr>
        <w:t xml:space="preserve">usage de la marque des années 1970 jusqu’à aujourd´hui (Documents B et C), le </w:t>
      </w:r>
      <w:r w:rsidR="00250E8C">
        <w:rPr>
          <w:lang w:val="fr-FR"/>
        </w:rPr>
        <w:t xml:space="preserve"> tableau</w:t>
      </w:r>
      <w:r w:rsidRPr="00721EE2">
        <w:rPr>
          <w:lang w:val="fr-FR"/>
        </w:rPr>
        <w:t xml:space="preserve"> avec état de ventes de quelques produits contenant la marque contestée </w:t>
      </w:r>
      <w:r w:rsidR="00DE6D80" w:rsidRPr="00721EE2">
        <w:rPr>
          <w:lang w:val="fr-FR"/>
        </w:rPr>
        <w:t xml:space="preserve">(Document D), </w:t>
      </w:r>
      <w:r w:rsidRPr="00721EE2">
        <w:rPr>
          <w:lang w:val="fr-FR"/>
        </w:rPr>
        <w:t>le dossier de presse des années 2020, 2021, 2022 et 2023</w:t>
      </w:r>
      <w:r w:rsidR="00DE6D80" w:rsidRPr="00721EE2">
        <w:rPr>
          <w:lang w:val="fr-FR"/>
        </w:rPr>
        <w:t xml:space="preserve"> (Document E)</w:t>
      </w:r>
      <w:r w:rsidR="00721EE2" w:rsidRPr="00721EE2">
        <w:rPr>
          <w:lang w:val="fr-FR"/>
        </w:rPr>
        <w:t xml:space="preserve"> et l</w:t>
      </w:r>
      <w:r w:rsidR="006F52B7" w:rsidRPr="00721EE2">
        <w:rPr>
          <w:lang w:val="fr-FR"/>
        </w:rPr>
        <w:t>es dossiers des collections de 20</w:t>
      </w:r>
      <w:r w:rsidR="00070603" w:rsidRPr="00721EE2">
        <w:rPr>
          <w:lang w:val="fr-FR"/>
        </w:rPr>
        <w:t>21</w:t>
      </w:r>
      <w:r w:rsidR="00070603">
        <w:rPr>
          <w:lang w:val="fr-FR"/>
        </w:rPr>
        <w:t> </w:t>
      </w:r>
      <w:r w:rsidR="00070603" w:rsidRPr="00721EE2">
        <w:rPr>
          <w:lang w:val="fr-FR"/>
        </w:rPr>
        <w:t>à</w:t>
      </w:r>
      <w:r w:rsidR="00070603">
        <w:rPr>
          <w:lang w:val="fr-FR"/>
        </w:rPr>
        <w:t> </w:t>
      </w:r>
      <w:r w:rsidR="00070603" w:rsidRPr="00721EE2">
        <w:rPr>
          <w:lang w:val="fr-FR"/>
        </w:rPr>
        <w:t>2025</w:t>
      </w:r>
      <w:r w:rsidR="006F52B7" w:rsidRPr="00721EE2">
        <w:rPr>
          <w:lang w:val="fr-FR"/>
        </w:rPr>
        <w:t xml:space="preserve"> (Document F), </w:t>
      </w:r>
      <w:r w:rsidR="00721EE2" w:rsidRPr="00721EE2">
        <w:rPr>
          <w:lang w:val="fr-FR"/>
        </w:rPr>
        <w:t xml:space="preserve">montrent une certaine présence </w:t>
      </w:r>
      <w:r w:rsidR="00842C54">
        <w:rPr>
          <w:lang w:val="fr-FR"/>
        </w:rPr>
        <w:t>du signe</w:t>
      </w:r>
      <w:r w:rsidR="00721EE2" w:rsidRPr="00721EE2">
        <w:rPr>
          <w:lang w:val="fr-FR"/>
        </w:rPr>
        <w:t xml:space="preserve"> contesté dans le marché et </w:t>
      </w:r>
      <w:r w:rsidR="006F52B7" w:rsidRPr="00721EE2">
        <w:rPr>
          <w:lang w:val="fr-FR"/>
        </w:rPr>
        <w:t xml:space="preserve">un grand </w:t>
      </w:r>
      <w:r w:rsidR="00184CC9">
        <w:rPr>
          <w:lang w:val="fr-FR"/>
        </w:rPr>
        <w:t>nombre</w:t>
      </w:r>
      <w:r w:rsidR="00184CC9" w:rsidRPr="00721EE2">
        <w:rPr>
          <w:lang w:val="fr-FR"/>
        </w:rPr>
        <w:t xml:space="preserve"> </w:t>
      </w:r>
      <w:r w:rsidR="006F52B7" w:rsidRPr="00721EE2">
        <w:rPr>
          <w:lang w:val="fr-FR"/>
        </w:rPr>
        <w:t xml:space="preserve">de produits reproduisant </w:t>
      </w:r>
      <w:r w:rsidR="006F52B7" w:rsidRPr="00721EE2">
        <w:rPr>
          <w:lang w:val="fr-FR"/>
        </w:rPr>
        <w:lastRenderedPageBreak/>
        <w:t>la marque motif objectée</w:t>
      </w:r>
      <w:r w:rsidR="00721EE2" w:rsidRPr="00721EE2">
        <w:rPr>
          <w:lang w:val="fr-FR"/>
        </w:rPr>
        <w:t>. Néanmoins, la Chambre fait valoir que ces documents ne suffisent pas pour apprécier le caractère distinctif accru par l’usage</w:t>
      </w:r>
      <w:r w:rsidR="006F52B7" w:rsidRPr="00721EE2">
        <w:rPr>
          <w:lang w:val="fr-FR"/>
        </w:rPr>
        <w:t xml:space="preserve">, </w:t>
      </w:r>
      <w:r w:rsidR="00184CC9">
        <w:rPr>
          <w:lang w:val="fr-FR"/>
        </w:rPr>
        <w:t>étant donné</w:t>
      </w:r>
      <w:r w:rsidR="00184CC9" w:rsidRPr="00721EE2">
        <w:rPr>
          <w:lang w:val="fr-FR"/>
        </w:rPr>
        <w:t xml:space="preserve"> </w:t>
      </w:r>
      <w:r w:rsidR="00721EE2" w:rsidRPr="00721EE2">
        <w:rPr>
          <w:lang w:val="fr-FR"/>
        </w:rPr>
        <w:t xml:space="preserve">qu’ils </w:t>
      </w:r>
      <w:r w:rsidR="006F52B7" w:rsidRPr="00721EE2">
        <w:rPr>
          <w:lang w:val="fr-FR"/>
        </w:rPr>
        <w:t>ne contien</w:t>
      </w:r>
      <w:r w:rsidR="00721EE2" w:rsidRPr="00721EE2">
        <w:rPr>
          <w:lang w:val="fr-FR"/>
        </w:rPr>
        <w:t>nen</w:t>
      </w:r>
      <w:r w:rsidR="006F52B7" w:rsidRPr="00721EE2">
        <w:rPr>
          <w:lang w:val="fr-FR"/>
        </w:rPr>
        <w:t>t aucune indication sur l’importance de</w:t>
      </w:r>
      <w:r w:rsidR="00721EE2" w:rsidRPr="00721EE2">
        <w:rPr>
          <w:lang w:val="fr-FR"/>
        </w:rPr>
        <w:t xml:space="preserve"> leur</w:t>
      </w:r>
      <w:r w:rsidR="006F52B7" w:rsidRPr="00721EE2">
        <w:rPr>
          <w:lang w:val="fr-FR"/>
        </w:rPr>
        <w:t xml:space="preserve"> diffusion auprès de tiers</w:t>
      </w:r>
      <w:r w:rsidR="00184CC9">
        <w:rPr>
          <w:lang w:val="fr-FR"/>
        </w:rPr>
        <w:t>. Ils</w:t>
      </w:r>
      <w:r w:rsidR="006F52B7" w:rsidRPr="00721EE2">
        <w:rPr>
          <w:lang w:val="fr-FR"/>
        </w:rPr>
        <w:t xml:space="preserve"> ne permet</w:t>
      </w:r>
      <w:r w:rsidR="00184CC9">
        <w:rPr>
          <w:lang w:val="fr-FR"/>
        </w:rPr>
        <w:t>tent</w:t>
      </w:r>
      <w:r w:rsidR="006F52B7" w:rsidRPr="00721EE2">
        <w:rPr>
          <w:lang w:val="fr-FR"/>
        </w:rPr>
        <w:t xml:space="preserve"> donc pas d’apprécier son impact sur les consommateurs, leur connaissance de la marque et sa perception auprès du public.</w:t>
      </w:r>
    </w:p>
    <w:bookmarkEnd w:id="2"/>
    <w:p w14:paraId="0063EDBE" w14:textId="77777777" w:rsidR="00C816D1" w:rsidRPr="00E2548D" w:rsidRDefault="00250EC4" w:rsidP="003F40AC">
      <w:pPr>
        <w:pStyle w:val="Numbered1"/>
        <w:rPr>
          <w:lang w:val="fr-FR"/>
        </w:rPr>
      </w:pPr>
      <w:r w:rsidRPr="00721EE2">
        <w:rPr>
          <w:lang w:val="fr-FR"/>
        </w:rPr>
        <w:t>Les documents concernant les chiffres d’affaires</w:t>
      </w:r>
      <w:r w:rsidRPr="006F52B7">
        <w:rPr>
          <w:lang w:val="fr-FR"/>
        </w:rPr>
        <w:t xml:space="preserve"> de la demanderesse et les factures ne permettent pas d’établir la part de marché détenue par la marque dans le secteur concerné</w:t>
      </w:r>
      <w:r w:rsidRPr="007143A1">
        <w:rPr>
          <w:lang w:val="fr-FR"/>
        </w:rPr>
        <w:t>.</w:t>
      </w:r>
      <w:r w:rsidR="007143A1" w:rsidRPr="007143A1">
        <w:rPr>
          <w:lang w:val="fr-FR"/>
        </w:rPr>
        <w:t xml:space="preserve"> </w:t>
      </w:r>
      <w:r w:rsidR="007143A1">
        <w:rPr>
          <w:lang w:val="fr-FR"/>
        </w:rPr>
        <w:t>S</w:t>
      </w:r>
      <w:r w:rsidR="007143A1" w:rsidRPr="007143A1">
        <w:rPr>
          <w:lang w:val="fr-FR"/>
        </w:rPr>
        <w:t xml:space="preserve">’agissant de la liste des produits contenant la marque contestée dans les saisons 59 à 66 (Document G), la Chambre observe que le </w:t>
      </w:r>
      <w:r w:rsidR="007143A1" w:rsidRPr="004937ED">
        <w:rPr>
          <w:lang w:val="fr-FR"/>
        </w:rPr>
        <w:t>nombre de pièces contenant la marque contestée et le nombre de références concernées sont présentés sans aucune référence aux territoires pertinents. En outre, s’agissant des factures datées en langue française pour des produits visés par la demande en question (</w:t>
      </w:r>
      <w:r w:rsidR="004937ED" w:rsidRPr="004937ED">
        <w:rPr>
          <w:lang w:val="fr-FR"/>
        </w:rPr>
        <w:t>Annexe 3</w:t>
      </w:r>
      <w:r w:rsidR="007143A1" w:rsidRPr="004937ED">
        <w:rPr>
          <w:lang w:val="fr-FR"/>
        </w:rPr>
        <w:t xml:space="preserve">), la Chambre, </w:t>
      </w:r>
      <w:r w:rsidR="00184CC9">
        <w:rPr>
          <w:lang w:val="fr-FR"/>
        </w:rPr>
        <w:t>est du même avis que</w:t>
      </w:r>
      <w:r w:rsidR="007143A1" w:rsidRPr="004937ED">
        <w:rPr>
          <w:lang w:val="fr-FR"/>
        </w:rPr>
        <w:t xml:space="preserve"> l’examinateur, </w:t>
      </w:r>
      <w:r w:rsidR="00184CC9">
        <w:rPr>
          <w:lang w:val="fr-FR"/>
        </w:rPr>
        <w:t xml:space="preserve">et </w:t>
      </w:r>
      <w:r w:rsidR="007143A1" w:rsidRPr="004937ED">
        <w:rPr>
          <w:lang w:val="fr-FR"/>
        </w:rPr>
        <w:t xml:space="preserve">fait valoir que </w:t>
      </w:r>
      <w:r w:rsidR="004937ED" w:rsidRPr="004937ED">
        <w:rPr>
          <w:lang w:val="fr-FR"/>
        </w:rPr>
        <w:t>ces documents</w:t>
      </w:r>
      <w:r w:rsidR="007143A1" w:rsidRPr="004937ED">
        <w:rPr>
          <w:lang w:val="fr-FR"/>
        </w:rPr>
        <w:t xml:space="preserve"> n’offrent aucune information sur le </w:t>
      </w:r>
      <w:r w:rsidR="007143A1" w:rsidRPr="00E2548D">
        <w:rPr>
          <w:lang w:val="fr-FR"/>
        </w:rPr>
        <w:t>caractère distinctif acquis par la marque pour une partie significative du public pertinent dans l’ensemble de l’Union Européenne, en dehors de la France.</w:t>
      </w:r>
    </w:p>
    <w:p w14:paraId="14A42FEC" w14:textId="77777777" w:rsidR="008133BF" w:rsidRPr="00E2548D" w:rsidRDefault="004A1533" w:rsidP="00E2548D">
      <w:pPr>
        <w:pStyle w:val="Numbered1"/>
        <w:rPr>
          <w:lang w:val="fr-FR"/>
        </w:rPr>
      </w:pPr>
      <w:r w:rsidRPr="00E2548D">
        <w:rPr>
          <w:lang w:val="fr-FR"/>
        </w:rPr>
        <w:t xml:space="preserve">Les références à l’utilisation de la </w:t>
      </w:r>
      <w:r w:rsidR="00296172" w:rsidRPr="00E2548D">
        <w:rPr>
          <w:lang w:val="fr-FR"/>
        </w:rPr>
        <w:t xml:space="preserve">marque </w:t>
      </w:r>
      <w:r w:rsidRPr="00E2548D">
        <w:rPr>
          <w:lang w:val="fr-FR"/>
        </w:rPr>
        <w:t>contestée</w:t>
      </w:r>
      <w:r w:rsidR="008133BF" w:rsidRPr="00E2548D">
        <w:rPr>
          <w:lang w:val="fr-FR"/>
        </w:rPr>
        <w:t xml:space="preserve">, faisant référence </w:t>
      </w:r>
      <w:r w:rsidR="00E2548D" w:rsidRPr="00E2548D">
        <w:rPr>
          <w:lang w:val="fr-FR"/>
        </w:rPr>
        <w:t>aux chiffres de ventes et le matériel publicitaire (annexe 3)</w:t>
      </w:r>
      <w:r w:rsidR="008133BF" w:rsidRPr="00E2548D">
        <w:rPr>
          <w:lang w:val="fr-FR"/>
        </w:rPr>
        <w:t xml:space="preserve"> ne peuvent être considérés que comme des preuves secondaires qui peuvent corroborer, le cas échéant, les preuves directes du caractère distinctif acquis par l’usage, telles que rapportées par des enquêtes ou des études de marché ainsi que des déclarations d’associations professionnelles ou des déclarations du public spécialisé (09/09/2020, T</w:t>
      </w:r>
      <w:r w:rsidR="00070603">
        <w:rPr>
          <w:lang w:val="fr-FR"/>
        </w:rPr>
        <w:noBreakHyphen/>
      </w:r>
      <w:r w:rsidR="00070603" w:rsidRPr="00E2548D">
        <w:rPr>
          <w:lang w:val="fr-FR"/>
        </w:rPr>
        <w:t>1</w:t>
      </w:r>
      <w:r w:rsidR="008133BF" w:rsidRPr="00E2548D">
        <w:rPr>
          <w:lang w:val="fr-FR"/>
        </w:rPr>
        <w:t xml:space="preserve">87/19, </w:t>
      </w:r>
      <w:proofErr w:type="spellStart"/>
      <w:r w:rsidR="008133BF" w:rsidRPr="00E2548D">
        <w:rPr>
          <w:lang w:val="fr-FR"/>
        </w:rPr>
        <w:t>Colour</w:t>
      </w:r>
      <w:proofErr w:type="spellEnd"/>
      <w:r w:rsidR="008133BF" w:rsidRPr="00E2548D">
        <w:rPr>
          <w:lang w:val="fr-FR"/>
        </w:rPr>
        <w:t xml:space="preserve"> </w:t>
      </w:r>
      <w:proofErr w:type="spellStart"/>
      <w:r w:rsidR="008133BF" w:rsidRPr="00E2548D">
        <w:rPr>
          <w:lang w:val="fr-FR"/>
        </w:rPr>
        <w:t>Purple</w:t>
      </w:r>
      <w:proofErr w:type="spellEnd"/>
      <w:r w:rsidR="008133BF" w:rsidRPr="00E2548D">
        <w:rPr>
          <w:lang w:val="fr-FR"/>
        </w:rPr>
        <w:t xml:space="preserve"> - 2587C (col.), EU:T:2020:405, §</w:t>
      </w:r>
      <w:r w:rsidR="0051209D">
        <w:rPr>
          <w:lang w:val="fr-FR"/>
        </w:rPr>
        <w:t> </w:t>
      </w:r>
      <w:r w:rsidR="008133BF" w:rsidRPr="00E2548D">
        <w:rPr>
          <w:lang w:val="fr-FR"/>
        </w:rPr>
        <w:t>94).</w:t>
      </w:r>
    </w:p>
    <w:p w14:paraId="79CF366A" w14:textId="77777777" w:rsidR="00296172" w:rsidRPr="004A1533" w:rsidRDefault="004A1533" w:rsidP="004A1533">
      <w:pPr>
        <w:pStyle w:val="Numbered1"/>
        <w:rPr>
          <w:lang w:val="fr-FR"/>
        </w:rPr>
      </w:pPr>
      <w:r w:rsidRPr="00E2548D">
        <w:rPr>
          <w:lang w:val="fr-FR"/>
        </w:rPr>
        <w:t>Ces preuves ne permettent</w:t>
      </w:r>
      <w:r w:rsidRPr="004A1533">
        <w:rPr>
          <w:lang w:val="fr-FR"/>
        </w:rPr>
        <w:t xml:space="preserve"> </w:t>
      </w:r>
      <w:r w:rsidR="0051209D">
        <w:rPr>
          <w:lang w:val="fr-FR"/>
        </w:rPr>
        <w:t xml:space="preserve">pas </w:t>
      </w:r>
      <w:r w:rsidRPr="004A1533">
        <w:rPr>
          <w:lang w:val="fr-FR"/>
        </w:rPr>
        <w:t xml:space="preserve">d’établir si </w:t>
      </w:r>
      <w:r w:rsidR="00E2548D" w:rsidRPr="00E2548D">
        <w:rPr>
          <w:lang w:val="fr-FR"/>
        </w:rPr>
        <w:t>une partie significative du public pertinent dans l’ensemble de l’Union Européenne</w:t>
      </w:r>
      <w:r w:rsidR="00E2548D">
        <w:rPr>
          <w:lang w:val="fr-FR"/>
        </w:rPr>
        <w:t xml:space="preserve"> est capable</w:t>
      </w:r>
      <w:r w:rsidRPr="004A1533">
        <w:rPr>
          <w:lang w:val="fr-FR"/>
        </w:rPr>
        <w:t xml:space="preserve"> d’identifier les produits ou services concernés comme provenant d’une entreprise en particulier. Elles n’établissent ni la part de marché détenue par la marque, ni l’intensité, ni la fréquence d’utilisation de la marque.</w:t>
      </w:r>
    </w:p>
    <w:p w14:paraId="1D678C3C" w14:textId="77777777" w:rsidR="00250EC4" w:rsidRPr="00E05163" w:rsidRDefault="00250EC4" w:rsidP="00E05163">
      <w:pPr>
        <w:pStyle w:val="Numbered1"/>
        <w:rPr>
          <w:lang w:val="fr-FR"/>
        </w:rPr>
      </w:pPr>
      <w:r w:rsidRPr="00C816D1">
        <w:rPr>
          <w:lang w:val="fr-FR"/>
        </w:rPr>
        <w:t xml:space="preserve">Enfin, les publications de la demanderesse sur les réseaux sociaux sont limitées en fréquence au long de la période pertinente, et reçoivent très peu de réactions (avis ou « likes ») de consommateurs, ce qui tend à établir la faible connaissance par le public de la marque </w:t>
      </w:r>
      <w:r w:rsidR="00C816D1" w:rsidRPr="00C816D1">
        <w:rPr>
          <w:lang w:val="fr-FR"/>
        </w:rPr>
        <w:t>contestée</w:t>
      </w:r>
      <w:r w:rsidRPr="00C816D1">
        <w:rPr>
          <w:lang w:val="fr-FR"/>
        </w:rPr>
        <w:t xml:space="preserve"> </w:t>
      </w:r>
      <w:r w:rsidR="004A1533">
        <w:rPr>
          <w:lang w:val="fr-FR"/>
        </w:rPr>
        <w:t>(p</w:t>
      </w:r>
      <w:r w:rsidRPr="00C816D1">
        <w:rPr>
          <w:lang w:val="fr-FR"/>
        </w:rPr>
        <w:t xml:space="preserve">ar exemple, </w:t>
      </w:r>
      <w:r w:rsidR="004A1533">
        <w:rPr>
          <w:lang w:val="fr-FR"/>
        </w:rPr>
        <w:t>p</w:t>
      </w:r>
      <w:r w:rsidR="00AB2D48" w:rsidRPr="00AB2D48">
        <w:rPr>
          <w:lang w:val="fr-FR"/>
        </w:rPr>
        <w:t xml:space="preserve">ages 2‐18 </w:t>
      </w:r>
      <w:r w:rsidR="004A1533">
        <w:rPr>
          <w:lang w:val="fr-FR"/>
        </w:rPr>
        <w:t xml:space="preserve">et </w:t>
      </w:r>
      <w:r w:rsidR="004A1533" w:rsidRPr="00AB2D48">
        <w:rPr>
          <w:lang w:val="fr-FR"/>
        </w:rPr>
        <w:t xml:space="preserve">82‐133 </w:t>
      </w:r>
      <w:r w:rsidR="00AB2D48" w:rsidRPr="00AB2D48">
        <w:rPr>
          <w:lang w:val="fr-FR"/>
        </w:rPr>
        <w:t>de l’annexe</w:t>
      </w:r>
      <w:r w:rsidR="0051209D">
        <w:rPr>
          <w:lang w:val="fr-FR"/>
        </w:rPr>
        <w:t> </w:t>
      </w:r>
      <w:r w:rsidR="004A1533">
        <w:rPr>
          <w:lang w:val="fr-FR"/>
        </w:rPr>
        <w:t>3)</w:t>
      </w:r>
      <w:r w:rsidRPr="004A1533">
        <w:rPr>
          <w:lang w:val="fr-FR"/>
        </w:rPr>
        <w:t>.</w:t>
      </w:r>
      <w:r w:rsidR="00626990">
        <w:rPr>
          <w:lang w:val="fr-FR"/>
        </w:rPr>
        <w:t xml:space="preserve"> </w:t>
      </w:r>
      <w:r w:rsidR="00FA15BF" w:rsidRPr="00FA15BF">
        <w:rPr>
          <w:lang w:val="fr-FR"/>
        </w:rPr>
        <w:t xml:space="preserve">La Chambre fait également valoir que la présence de certaines publications ayant enregistré un nombre élevé de visualisations </w:t>
      </w:r>
      <w:proofErr w:type="gramStart"/>
      <w:r w:rsidR="00FA15BF" w:rsidRPr="00FA15BF">
        <w:rPr>
          <w:lang w:val="fr-FR"/>
        </w:rPr>
        <w:t xml:space="preserve">ne </w:t>
      </w:r>
      <w:r w:rsidR="00A515BD">
        <w:rPr>
          <w:lang w:val="fr-FR"/>
        </w:rPr>
        <w:t xml:space="preserve"> permet</w:t>
      </w:r>
      <w:proofErr w:type="gramEnd"/>
      <w:r w:rsidR="00A515BD">
        <w:rPr>
          <w:lang w:val="fr-FR"/>
        </w:rPr>
        <w:t xml:space="preserve"> pas </w:t>
      </w:r>
      <w:r w:rsidR="00497120">
        <w:rPr>
          <w:lang w:val="fr-FR"/>
        </w:rPr>
        <w:t>d´affirmer qu</w:t>
      </w:r>
      <w:r w:rsidR="00FA15BF" w:rsidRPr="00FA15BF">
        <w:rPr>
          <w:lang w:val="fr-FR"/>
        </w:rPr>
        <w:t>’un public pertinent et significatif, dans l’ensemble de l’Union européenne, identifier</w:t>
      </w:r>
      <w:r w:rsidR="00497120">
        <w:rPr>
          <w:lang w:val="fr-FR"/>
        </w:rPr>
        <w:t>ait</w:t>
      </w:r>
      <w:r w:rsidR="00FA15BF" w:rsidRPr="00FA15BF">
        <w:rPr>
          <w:lang w:val="fr-FR"/>
        </w:rPr>
        <w:t xml:space="preserve"> les produits concernés comme provenant de la demanderesse. En effet, comme l’a souligné l’examinateur, ces sites sont accessibles à l’échelle internationale, ce qui rend difficile l’identification de l’origine géographique des visiteurs, et donc la détermination du territoire réel d’usage.</w:t>
      </w:r>
    </w:p>
    <w:p w14:paraId="287B8BED" w14:textId="77777777" w:rsidR="00250EC4" w:rsidRPr="00830163" w:rsidRDefault="00250EC4" w:rsidP="00250EC4">
      <w:pPr>
        <w:pStyle w:val="Numbered1"/>
        <w:rPr>
          <w:lang w:val="fr-FR"/>
        </w:rPr>
      </w:pPr>
      <w:r>
        <w:rPr>
          <w:lang w:val="fr-FR"/>
        </w:rPr>
        <w:t>Il s’ensuit que l</w:t>
      </w:r>
      <w:r w:rsidRPr="00830163">
        <w:rPr>
          <w:lang w:val="fr-FR"/>
        </w:rPr>
        <w:t xml:space="preserve">a Chambre estime que </w:t>
      </w:r>
      <w:r>
        <w:rPr>
          <w:lang w:val="fr-FR"/>
        </w:rPr>
        <w:t>l</w:t>
      </w:r>
      <w:r w:rsidRPr="00830163">
        <w:rPr>
          <w:lang w:val="fr-FR"/>
        </w:rPr>
        <w:t xml:space="preserve">es documents </w:t>
      </w:r>
      <w:r>
        <w:rPr>
          <w:lang w:val="fr-FR"/>
        </w:rPr>
        <w:t xml:space="preserve">présentés par la </w:t>
      </w:r>
      <w:r w:rsidR="00A35B1E">
        <w:rPr>
          <w:lang w:val="fr-FR"/>
        </w:rPr>
        <w:t>demanderesse</w:t>
      </w:r>
      <w:r>
        <w:rPr>
          <w:lang w:val="fr-FR"/>
        </w:rPr>
        <w:t xml:space="preserve"> de la marque </w:t>
      </w:r>
      <w:r w:rsidRPr="00830163">
        <w:rPr>
          <w:lang w:val="fr-FR"/>
        </w:rPr>
        <w:t xml:space="preserve">ne permettent pas d’établir que le signe </w:t>
      </w:r>
      <w:r w:rsidR="00D4347B">
        <w:rPr>
          <w:lang w:val="fr-FR"/>
        </w:rPr>
        <w:t xml:space="preserve">demandé </w:t>
      </w:r>
      <w:r w:rsidRPr="00830163">
        <w:rPr>
          <w:lang w:val="fr-FR"/>
        </w:rPr>
        <w:t>aurait acquis un caractère distinctif par son usage auprès du public pertinent.</w:t>
      </w:r>
    </w:p>
    <w:p w14:paraId="26B3CA6E" w14:textId="77777777" w:rsidR="00250EC4" w:rsidRPr="00A22AB2" w:rsidRDefault="00250EC4" w:rsidP="00250EC4">
      <w:pPr>
        <w:pStyle w:val="Numbered1"/>
        <w:rPr>
          <w:lang w:val="fr-FR"/>
        </w:rPr>
      </w:pPr>
      <w:r w:rsidRPr="00830163">
        <w:rPr>
          <w:lang w:val="fr-FR"/>
        </w:rPr>
        <w:t>En effet, même pris globalement, les documents présentés ne suffisent pas à démontrer que l</w:t>
      </w:r>
      <w:r w:rsidR="00D4347B">
        <w:rPr>
          <w:lang w:val="fr-FR"/>
        </w:rPr>
        <w:t>e</w:t>
      </w:r>
      <w:r w:rsidRPr="00830163">
        <w:rPr>
          <w:lang w:val="fr-FR"/>
        </w:rPr>
        <w:t xml:space="preserve"> </w:t>
      </w:r>
      <w:r w:rsidR="00D4347B">
        <w:rPr>
          <w:lang w:val="fr-FR"/>
        </w:rPr>
        <w:t>signe</w:t>
      </w:r>
      <w:r w:rsidRPr="00830163">
        <w:rPr>
          <w:lang w:val="fr-FR"/>
        </w:rPr>
        <w:t xml:space="preserve"> demandé</w:t>
      </w:r>
      <w:r>
        <w:rPr>
          <w:lang w:val="fr-FR"/>
        </w:rPr>
        <w:t xml:space="preserve">, seul, </w:t>
      </w:r>
      <w:r w:rsidRPr="00830163">
        <w:rPr>
          <w:lang w:val="fr-FR"/>
        </w:rPr>
        <w:t>serait deven</w:t>
      </w:r>
      <w:r w:rsidR="00D4347B">
        <w:rPr>
          <w:lang w:val="fr-FR"/>
        </w:rPr>
        <w:t>u</w:t>
      </w:r>
      <w:r w:rsidRPr="00830163">
        <w:rPr>
          <w:lang w:val="fr-FR"/>
        </w:rPr>
        <w:t xml:space="preserve"> apte à identifier les produits en cause au regard </w:t>
      </w:r>
      <w:r w:rsidR="00D142FD">
        <w:rPr>
          <w:lang w:val="fr-FR"/>
        </w:rPr>
        <w:t>d’</w:t>
      </w:r>
      <w:r w:rsidR="00D142FD" w:rsidRPr="00296970">
        <w:rPr>
          <w:lang w:val="fr-FR"/>
        </w:rPr>
        <w:t>une partie significative du public pertinent dans l’ensemble de l’Union Européenne</w:t>
      </w:r>
      <w:r w:rsidR="00D142FD" w:rsidRPr="00830163">
        <w:rPr>
          <w:lang w:val="fr-FR"/>
        </w:rPr>
        <w:t xml:space="preserve"> </w:t>
      </w:r>
      <w:r w:rsidRPr="00830163">
        <w:rPr>
          <w:lang w:val="fr-FR"/>
        </w:rPr>
        <w:t xml:space="preserve">comme provenant d’une entreprise déterminée. La </w:t>
      </w:r>
      <w:r w:rsidR="00D4347B">
        <w:rPr>
          <w:lang w:val="fr-FR"/>
        </w:rPr>
        <w:t>demanderesse</w:t>
      </w:r>
      <w:r w:rsidRPr="00830163">
        <w:rPr>
          <w:lang w:val="fr-FR"/>
        </w:rPr>
        <w:t xml:space="preserve"> aurait dû prouver, par des informations supplémentaires concernant, par exemple, la part de marché détenue par </w:t>
      </w:r>
      <w:r w:rsidRPr="00830163">
        <w:rPr>
          <w:lang w:val="fr-FR"/>
        </w:rPr>
        <w:lastRenderedPageBreak/>
        <w:t>la marque</w:t>
      </w:r>
      <w:r>
        <w:rPr>
          <w:lang w:val="fr-FR"/>
        </w:rPr>
        <w:t xml:space="preserve"> dans les territoires pertinents</w:t>
      </w:r>
      <w:r w:rsidRPr="00830163">
        <w:rPr>
          <w:lang w:val="fr-FR"/>
        </w:rPr>
        <w:t xml:space="preserve">, l’importance des investissements réalisés pour la promouvoir (par exemple, publicité dans l’Union européenne antérieure à la demande de marque), des déclarations de chambres de commerce et d’industrie ou d’autres associations professionnelles, qu’une fraction significative du public pertinent identifie les produits comme provenant d’une </w:t>
      </w:r>
      <w:r w:rsidRPr="00A22AB2">
        <w:rPr>
          <w:lang w:val="fr-FR"/>
        </w:rPr>
        <w:t>entreprise déterminée grâce à la marque (07/07/2005, C</w:t>
      </w:r>
      <w:r w:rsidR="00070603">
        <w:rPr>
          <w:lang w:val="fr-FR"/>
        </w:rPr>
        <w:noBreakHyphen/>
      </w:r>
      <w:r w:rsidR="00070603" w:rsidRPr="00A22AB2">
        <w:rPr>
          <w:lang w:val="fr-FR"/>
        </w:rPr>
        <w:t>3</w:t>
      </w:r>
      <w:r w:rsidRPr="00A22AB2">
        <w:rPr>
          <w:lang w:val="fr-FR"/>
        </w:rPr>
        <w:t>53/03, Have a break, EU:C:2005:432, §</w:t>
      </w:r>
      <w:r w:rsidR="00DC0911">
        <w:rPr>
          <w:lang w:val="fr-FR"/>
        </w:rPr>
        <w:t> </w:t>
      </w:r>
      <w:r w:rsidRPr="00A22AB2">
        <w:rPr>
          <w:lang w:val="fr-FR"/>
        </w:rPr>
        <w:t xml:space="preserve">31). En l’absence de tels documents de preuve, la Chambre ne peut pas évaluer la perception qu’en aurait le public sur le </w:t>
      </w:r>
      <w:r>
        <w:rPr>
          <w:lang w:val="fr-FR"/>
        </w:rPr>
        <w:t xml:space="preserve">territoire </w:t>
      </w:r>
      <w:r w:rsidRPr="00A22AB2">
        <w:rPr>
          <w:lang w:val="fr-FR"/>
        </w:rPr>
        <w:t>pertinent.</w:t>
      </w:r>
    </w:p>
    <w:p w14:paraId="5A69B4CD" w14:textId="77777777" w:rsidR="00D4347B" w:rsidRPr="00A22AB2" w:rsidRDefault="00D4347B" w:rsidP="00D4347B">
      <w:pPr>
        <w:keepNext/>
        <w:spacing w:before="240"/>
        <w:ind w:left="425"/>
        <w:outlineLvl w:val="1"/>
        <w:rPr>
          <w:i/>
          <w:iCs/>
          <w:color w:val="000000"/>
          <w:lang w:val="fr-FR"/>
        </w:rPr>
      </w:pPr>
      <w:r w:rsidRPr="00A22AB2">
        <w:rPr>
          <w:i/>
          <w:iCs/>
          <w:color w:val="000000"/>
          <w:lang w:val="fr-FR"/>
        </w:rPr>
        <w:t xml:space="preserve">Conclusion </w:t>
      </w:r>
    </w:p>
    <w:p w14:paraId="244A0A52" w14:textId="77777777" w:rsidR="00D4347B" w:rsidRPr="00A22AB2" w:rsidRDefault="00D4347B" w:rsidP="00D4347B">
      <w:pPr>
        <w:pStyle w:val="Numbered1"/>
        <w:rPr>
          <w:lang w:val="fr-FR"/>
        </w:rPr>
      </w:pPr>
      <w:r w:rsidRPr="00A22AB2">
        <w:rPr>
          <w:lang w:val="fr-FR"/>
        </w:rPr>
        <w:t xml:space="preserve">En conclusion, il ne ressort pas des documents </w:t>
      </w:r>
      <w:r>
        <w:rPr>
          <w:lang w:val="fr-FR"/>
        </w:rPr>
        <w:t>produits par la demanderesse qu</w:t>
      </w:r>
      <w:r w:rsidR="00A67CF2">
        <w:rPr>
          <w:lang w:val="fr-FR"/>
        </w:rPr>
        <w:t>´</w:t>
      </w:r>
      <w:r>
        <w:rPr>
          <w:lang w:val="fr-FR"/>
        </w:rPr>
        <w:t>au moins une partie significative du public pertinent</w:t>
      </w:r>
      <w:r w:rsidRPr="00A22AB2">
        <w:rPr>
          <w:lang w:val="fr-FR"/>
        </w:rPr>
        <w:t xml:space="preserve"> identifie les produits</w:t>
      </w:r>
      <w:r>
        <w:rPr>
          <w:lang w:val="fr-FR"/>
        </w:rPr>
        <w:t xml:space="preserve"> vendus sous le signe demandé </w:t>
      </w:r>
      <w:r w:rsidRPr="00A22AB2">
        <w:rPr>
          <w:lang w:val="fr-FR"/>
        </w:rPr>
        <w:t xml:space="preserve">comme provenant de la </w:t>
      </w:r>
      <w:r>
        <w:rPr>
          <w:lang w:val="fr-FR"/>
        </w:rPr>
        <w:t>demanderesse</w:t>
      </w:r>
      <w:r w:rsidRPr="00A22AB2">
        <w:rPr>
          <w:lang w:val="fr-FR"/>
        </w:rPr>
        <w:t>.</w:t>
      </w:r>
    </w:p>
    <w:p w14:paraId="477AAA34" w14:textId="77777777" w:rsidR="00D4347B" w:rsidRPr="00A22AB2" w:rsidRDefault="00D4347B" w:rsidP="00D4347B">
      <w:pPr>
        <w:pStyle w:val="Numbered1"/>
        <w:rPr>
          <w:lang w:val="fr-FR"/>
        </w:rPr>
      </w:pPr>
      <w:r w:rsidRPr="00A22AB2">
        <w:rPr>
          <w:lang w:val="fr-FR"/>
        </w:rPr>
        <w:t>Pour toutes les raisons évoquées ci-dessus, la condition établie à l’article</w:t>
      </w:r>
      <w:r w:rsidR="00DC0911">
        <w:rPr>
          <w:lang w:val="fr-FR"/>
        </w:rPr>
        <w:t> </w:t>
      </w:r>
      <w:r w:rsidRPr="00A22AB2">
        <w:rPr>
          <w:lang w:val="fr-FR"/>
        </w:rPr>
        <w:t>7, paragraphe</w:t>
      </w:r>
      <w:r w:rsidR="00DC0911">
        <w:rPr>
          <w:lang w:val="fr-FR"/>
        </w:rPr>
        <w:t> </w:t>
      </w:r>
      <w:r w:rsidRPr="00A22AB2">
        <w:rPr>
          <w:lang w:val="fr-FR"/>
        </w:rPr>
        <w:t>3, du RMUE, ne saurait être considérée comme remplie (10/12/2008, T</w:t>
      </w:r>
      <w:r w:rsidR="00070603">
        <w:rPr>
          <w:lang w:val="fr-FR"/>
        </w:rPr>
        <w:noBreakHyphen/>
      </w:r>
      <w:r w:rsidR="00070603" w:rsidRPr="00A22AB2">
        <w:rPr>
          <w:lang w:val="fr-FR"/>
        </w:rPr>
        <w:t>3</w:t>
      </w:r>
      <w:r w:rsidRPr="00A22AB2">
        <w:rPr>
          <w:lang w:val="fr-FR"/>
        </w:rPr>
        <w:t xml:space="preserve">65/06, BATEAUX MOUCHES, </w:t>
      </w:r>
      <w:proofErr w:type="gramStart"/>
      <w:r w:rsidRPr="00A22AB2">
        <w:rPr>
          <w:lang w:val="fr-FR"/>
        </w:rPr>
        <w:t>EU:T</w:t>
      </w:r>
      <w:proofErr w:type="gramEnd"/>
      <w:r w:rsidRPr="00A22AB2">
        <w:rPr>
          <w:lang w:val="fr-FR"/>
        </w:rPr>
        <w:t>:</w:t>
      </w:r>
      <w:proofErr w:type="gramStart"/>
      <w:r w:rsidRPr="00A22AB2">
        <w:rPr>
          <w:lang w:val="fr-FR"/>
        </w:rPr>
        <w:t>2008:</w:t>
      </w:r>
      <w:proofErr w:type="gramEnd"/>
      <w:r w:rsidRPr="00A22AB2">
        <w:rPr>
          <w:lang w:val="fr-FR"/>
        </w:rPr>
        <w:t>559, §</w:t>
      </w:r>
      <w:r w:rsidR="00DC0911">
        <w:rPr>
          <w:lang w:val="fr-FR"/>
        </w:rPr>
        <w:t> </w:t>
      </w:r>
      <w:r w:rsidRPr="00A22AB2">
        <w:rPr>
          <w:lang w:val="fr-FR"/>
        </w:rPr>
        <w:t>35, et la jurisprudence citée).</w:t>
      </w:r>
    </w:p>
    <w:p w14:paraId="47E0727E" w14:textId="77777777" w:rsidR="00633083" w:rsidRPr="00D4347B" w:rsidRDefault="00D4347B" w:rsidP="00D4347B">
      <w:pPr>
        <w:pStyle w:val="Numbered1"/>
        <w:rPr>
          <w:lang w:val="fr-FR"/>
        </w:rPr>
      </w:pPr>
      <w:r w:rsidRPr="00A22AB2">
        <w:rPr>
          <w:lang w:val="fr-FR"/>
        </w:rPr>
        <w:t>Par conséquent, le recours est rejeté.</w:t>
      </w:r>
    </w:p>
    <w:p w14:paraId="0895314E" w14:textId="77777777" w:rsidR="00CE4E97" w:rsidRPr="002F7E0E" w:rsidRDefault="00633083" w:rsidP="005A43AC">
      <w:pPr>
        <w:pStyle w:val="OrderHeading"/>
        <w:rPr>
          <w:lang w:val="fr-FR"/>
        </w:rPr>
      </w:pPr>
      <w:r w:rsidRPr="002F7E0E">
        <w:rPr>
          <w:lang w:val="fr-FR"/>
        </w:rPr>
        <w:lastRenderedPageBreak/>
        <w:t>Dispositif</w:t>
      </w:r>
    </w:p>
    <w:p w14:paraId="5E913588" w14:textId="77777777" w:rsidR="00CE4E97" w:rsidRPr="002F7E0E" w:rsidRDefault="00633083" w:rsidP="005A43AC">
      <w:pPr>
        <w:pStyle w:val="Continue1"/>
        <w:rPr>
          <w:lang w:val="fr-FR"/>
        </w:rPr>
      </w:pPr>
      <w:r w:rsidRPr="002F7E0E">
        <w:rPr>
          <w:lang w:val="fr-FR"/>
        </w:rPr>
        <w:t>Par ces motifs,</w:t>
      </w:r>
    </w:p>
    <w:p w14:paraId="03BF8517" w14:textId="77777777" w:rsidR="00CE4E97" w:rsidRPr="002F7E0E" w:rsidRDefault="00633083" w:rsidP="005A43AC">
      <w:pPr>
        <w:pStyle w:val="1stCAPSCENTERED"/>
        <w:rPr>
          <w:lang w:val="fr-FR"/>
        </w:rPr>
      </w:pPr>
      <w:r w:rsidRPr="002F7E0E">
        <w:rPr>
          <w:lang w:val="fr-FR"/>
        </w:rPr>
        <w:t>LA CHAMBRE</w:t>
      </w:r>
    </w:p>
    <w:p w14:paraId="65617F4C" w14:textId="77777777" w:rsidR="00CE4E97" w:rsidRPr="00812797" w:rsidRDefault="00633083" w:rsidP="005A43AC">
      <w:pPr>
        <w:pStyle w:val="Continue1"/>
        <w:rPr>
          <w:lang w:val="fr-FR"/>
        </w:rPr>
      </w:pPr>
      <w:r w:rsidRPr="00812797">
        <w:rPr>
          <w:lang w:val="fr-FR"/>
        </w:rPr>
        <w:t>déclare et décide :</w:t>
      </w:r>
    </w:p>
    <w:p w14:paraId="685D6C6F" w14:textId="77777777" w:rsidR="00CE4E97" w:rsidRPr="00812797" w:rsidRDefault="00633083" w:rsidP="00D4347B">
      <w:pPr>
        <w:pStyle w:val="NumberedOrder"/>
        <w:numPr>
          <w:ilvl w:val="0"/>
          <w:numId w:val="0"/>
        </w:numPr>
        <w:ind w:left="851" w:hanging="426"/>
        <w:rPr>
          <w:lang w:val="fr-FR"/>
        </w:rPr>
      </w:pPr>
      <w:r w:rsidRPr="00812797">
        <w:rPr>
          <w:lang w:val="fr-FR"/>
        </w:rPr>
        <w:t>Le recours est rejeté.</w:t>
      </w:r>
    </w:p>
    <w:p w14:paraId="6315D8C1" w14:textId="77777777" w:rsidR="00CE4E97" w:rsidRPr="002F7E0E" w:rsidRDefault="00CE4E97" w:rsidP="00A67CF2">
      <w:pPr>
        <w:pStyle w:val="Signature"/>
        <w:rPr>
          <w:lang w:val="fr-FR"/>
        </w:rPr>
      </w:pPr>
    </w:p>
    <w:p w14:paraId="58295CAC" w14:textId="77777777" w:rsidR="00CE4E97" w:rsidRPr="002F7E0E" w:rsidRDefault="00CE4E97" w:rsidP="00A67CF2">
      <w:pPr>
        <w:pStyle w:val="Signature"/>
        <w:rPr>
          <w:lang w:val="fr-FR"/>
        </w:rPr>
      </w:pPr>
    </w:p>
    <w:p w14:paraId="45D5164A" w14:textId="77777777" w:rsidR="00CE4E97" w:rsidRPr="002F7E0E" w:rsidRDefault="00CE4E97" w:rsidP="00A67CF2">
      <w:pPr>
        <w:pStyle w:val="Signature"/>
        <w:rPr>
          <w:lang w:val="fr-FR"/>
        </w:rPr>
      </w:pPr>
      <w:bookmarkStart w:id="3" w:name="chk-paragraph-13_nodeId-1894871546"/>
      <w:bookmarkEnd w:id="0"/>
    </w:p>
    <w:bookmarkEnd w:id="3"/>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9"/>
      </w:tblGrid>
      <w:tr w:rsidR="0054524C" w14:paraId="2D7BE5FC" w14:textId="77777777">
        <w:trPr>
          <w:jc w:val="center"/>
        </w:trPr>
        <w:tc>
          <w:tcPr>
            <w:tcW w:w="3009" w:type="dxa"/>
            <w:vAlign w:val="center"/>
          </w:tcPr>
          <w:p w14:paraId="1AC4ECA0" w14:textId="77777777" w:rsidR="0054524C" w:rsidRDefault="0054524C">
            <w:pPr>
              <w:jc w:val="center"/>
            </w:pPr>
          </w:p>
          <w:p w14:paraId="0FB68481" w14:textId="77777777" w:rsidR="0054524C" w:rsidRDefault="00000000">
            <w:pPr>
              <w:jc w:val="center"/>
            </w:pPr>
            <w:r>
              <w:t>Signé</w:t>
            </w:r>
          </w:p>
          <w:p w14:paraId="6805FC30" w14:textId="77777777" w:rsidR="0054524C" w:rsidRDefault="0054524C">
            <w:pPr>
              <w:jc w:val="center"/>
            </w:pPr>
          </w:p>
          <w:p w14:paraId="48A8A789" w14:textId="77777777" w:rsidR="0054524C" w:rsidRDefault="00000000">
            <w:pPr>
              <w:jc w:val="center"/>
            </w:pPr>
            <w:r>
              <w:t>G. Humphreys Bacon</w:t>
            </w:r>
          </w:p>
          <w:p w14:paraId="09301468" w14:textId="77777777" w:rsidR="0054524C" w:rsidRDefault="0054524C">
            <w:pPr>
              <w:jc w:val="center"/>
            </w:pPr>
          </w:p>
          <w:p w14:paraId="148B80E6" w14:textId="77777777" w:rsidR="0054524C" w:rsidRDefault="0054524C">
            <w:pPr>
              <w:jc w:val="center"/>
            </w:pPr>
          </w:p>
          <w:p w14:paraId="46DCA3FD" w14:textId="77777777" w:rsidR="0054524C" w:rsidRDefault="0054524C">
            <w:pPr>
              <w:jc w:val="center"/>
            </w:pPr>
          </w:p>
          <w:p w14:paraId="198BEFBD" w14:textId="77777777" w:rsidR="0054524C" w:rsidRDefault="0054524C">
            <w:pPr>
              <w:jc w:val="center"/>
            </w:pPr>
          </w:p>
          <w:p w14:paraId="2878DC6F" w14:textId="77777777" w:rsidR="0054524C" w:rsidRDefault="0054524C">
            <w:pPr>
              <w:jc w:val="center"/>
            </w:pPr>
          </w:p>
        </w:tc>
        <w:tc>
          <w:tcPr>
            <w:tcW w:w="3009" w:type="dxa"/>
            <w:vAlign w:val="center"/>
          </w:tcPr>
          <w:p w14:paraId="3FAD5FB2" w14:textId="77777777" w:rsidR="0054524C" w:rsidRDefault="0054524C">
            <w:pPr>
              <w:jc w:val="center"/>
            </w:pPr>
          </w:p>
          <w:p w14:paraId="793D138A" w14:textId="77777777" w:rsidR="0054524C" w:rsidRDefault="00000000">
            <w:pPr>
              <w:jc w:val="center"/>
            </w:pPr>
            <w:r>
              <w:t>Signé</w:t>
            </w:r>
          </w:p>
          <w:p w14:paraId="37239A35" w14:textId="77777777" w:rsidR="0054524C" w:rsidRDefault="0054524C">
            <w:pPr>
              <w:jc w:val="center"/>
            </w:pPr>
          </w:p>
          <w:p w14:paraId="6BDFAD81" w14:textId="77777777" w:rsidR="0054524C" w:rsidRDefault="00000000">
            <w:pPr>
              <w:jc w:val="center"/>
            </w:pPr>
            <w:r>
              <w:t>A. González Fernández</w:t>
            </w:r>
          </w:p>
          <w:p w14:paraId="7F102E49" w14:textId="77777777" w:rsidR="0054524C" w:rsidRDefault="0054524C">
            <w:pPr>
              <w:jc w:val="center"/>
            </w:pPr>
          </w:p>
          <w:p w14:paraId="2ACCB376" w14:textId="77777777" w:rsidR="0054524C" w:rsidRDefault="0054524C">
            <w:pPr>
              <w:jc w:val="center"/>
            </w:pPr>
          </w:p>
          <w:p w14:paraId="0A0D82F9" w14:textId="77777777" w:rsidR="0054524C" w:rsidRDefault="0054524C">
            <w:pPr>
              <w:jc w:val="center"/>
            </w:pPr>
          </w:p>
          <w:p w14:paraId="43663A69" w14:textId="77777777" w:rsidR="0054524C" w:rsidRDefault="0054524C">
            <w:pPr>
              <w:jc w:val="center"/>
            </w:pPr>
          </w:p>
          <w:p w14:paraId="43DBB193" w14:textId="77777777" w:rsidR="0054524C" w:rsidRDefault="0054524C">
            <w:pPr>
              <w:jc w:val="center"/>
            </w:pPr>
          </w:p>
        </w:tc>
        <w:tc>
          <w:tcPr>
            <w:tcW w:w="3009" w:type="dxa"/>
            <w:vAlign w:val="center"/>
          </w:tcPr>
          <w:p w14:paraId="5E382FAA" w14:textId="77777777" w:rsidR="0054524C" w:rsidRDefault="0054524C">
            <w:pPr>
              <w:jc w:val="center"/>
            </w:pPr>
          </w:p>
          <w:p w14:paraId="2C896FBD" w14:textId="77777777" w:rsidR="0054524C" w:rsidRDefault="00000000">
            <w:pPr>
              <w:jc w:val="center"/>
            </w:pPr>
            <w:r>
              <w:t>Signé</w:t>
            </w:r>
          </w:p>
          <w:p w14:paraId="2F907D7A" w14:textId="77777777" w:rsidR="0054524C" w:rsidRDefault="0054524C">
            <w:pPr>
              <w:jc w:val="center"/>
            </w:pPr>
          </w:p>
          <w:p w14:paraId="552A86AA" w14:textId="77777777" w:rsidR="0054524C" w:rsidRDefault="00000000">
            <w:pPr>
              <w:jc w:val="center"/>
            </w:pPr>
            <w:r>
              <w:t>C. Bartos</w:t>
            </w:r>
          </w:p>
          <w:p w14:paraId="5B7CFD53" w14:textId="77777777" w:rsidR="0054524C" w:rsidRDefault="0054524C">
            <w:pPr>
              <w:jc w:val="center"/>
            </w:pPr>
          </w:p>
          <w:p w14:paraId="650F43A0" w14:textId="77777777" w:rsidR="0054524C" w:rsidRDefault="0054524C">
            <w:pPr>
              <w:jc w:val="center"/>
            </w:pPr>
          </w:p>
          <w:p w14:paraId="15A22F3D" w14:textId="77777777" w:rsidR="0054524C" w:rsidRDefault="0054524C">
            <w:pPr>
              <w:jc w:val="center"/>
            </w:pPr>
          </w:p>
          <w:p w14:paraId="09FAF009" w14:textId="77777777" w:rsidR="0054524C" w:rsidRDefault="0054524C">
            <w:pPr>
              <w:jc w:val="center"/>
            </w:pPr>
          </w:p>
          <w:p w14:paraId="7AD73792" w14:textId="77777777" w:rsidR="0054524C" w:rsidRDefault="0054524C">
            <w:pPr>
              <w:jc w:val="center"/>
            </w:pPr>
          </w:p>
        </w:tc>
      </w:tr>
    </w:tbl>
    <w:p w14:paraId="0532B776" w14:textId="77777777" w:rsidR="0054524C" w:rsidRDefault="0054524C">
      <w:pPr>
        <w:jc w:val="center"/>
      </w:pPr>
    </w:p>
    <w:p w14:paraId="05B4E537" w14:textId="77777777" w:rsidR="0054524C" w:rsidRDefault="0054524C">
      <w:pPr>
        <w:jc w:val="center"/>
      </w:pP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6"/>
        <w:gridCol w:w="2256"/>
      </w:tblGrid>
      <w:tr w:rsidR="0054524C" w14:paraId="53E5771F" w14:textId="77777777">
        <w:trPr>
          <w:jc w:val="center"/>
        </w:trPr>
        <w:tc>
          <w:tcPr>
            <w:tcW w:w="2256" w:type="dxa"/>
          </w:tcPr>
          <w:p w14:paraId="07CA1D11" w14:textId="77777777" w:rsidR="0054524C" w:rsidRDefault="0054524C">
            <w:pPr>
              <w:jc w:val="center"/>
            </w:pPr>
          </w:p>
          <w:p w14:paraId="6FC9BD7C" w14:textId="77777777" w:rsidR="0054524C" w:rsidRDefault="00000000">
            <w:pPr>
              <w:jc w:val="center"/>
            </w:pPr>
            <w:r>
              <w:t>Greffier:</w:t>
            </w:r>
          </w:p>
          <w:p w14:paraId="2977339C" w14:textId="77777777" w:rsidR="0054524C" w:rsidRDefault="0054524C">
            <w:pPr>
              <w:jc w:val="center"/>
            </w:pPr>
          </w:p>
          <w:p w14:paraId="5D03C15C" w14:textId="77777777" w:rsidR="0054524C" w:rsidRDefault="00000000">
            <w:pPr>
              <w:jc w:val="center"/>
            </w:pPr>
            <w:r>
              <w:t>Signé</w:t>
            </w:r>
          </w:p>
          <w:p w14:paraId="741DD084" w14:textId="77777777" w:rsidR="0054524C" w:rsidRDefault="0054524C">
            <w:pPr>
              <w:jc w:val="center"/>
            </w:pPr>
          </w:p>
          <w:p w14:paraId="36D55FF3" w14:textId="77777777" w:rsidR="0054524C" w:rsidRDefault="00000000">
            <w:pPr>
              <w:jc w:val="center"/>
            </w:pPr>
            <w:r>
              <w:t>p.o. E. Apaolaza Alm</w:t>
            </w:r>
          </w:p>
          <w:p w14:paraId="32CEBAD4" w14:textId="77777777" w:rsidR="0054524C" w:rsidRDefault="0054524C">
            <w:pPr>
              <w:jc w:val="center"/>
            </w:pPr>
          </w:p>
        </w:tc>
        <w:tc>
          <w:tcPr>
            <w:tcW w:w="2256" w:type="dxa"/>
          </w:tcPr>
          <w:p w14:paraId="3FE230C8" w14:textId="77777777" w:rsidR="0054524C" w:rsidRDefault="0054524C"/>
          <w:p w14:paraId="6376335C" w14:textId="77777777" w:rsidR="0054524C" w:rsidRDefault="00000000">
            <w:pPr>
              <w:jc w:val="center"/>
            </w:pPr>
            <w:r>
              <w:rPr>
                <w:noProof/>
              </w:rPr>
              <w:drawing>
                <wp:inline distT="0" distB="0" distL="0" distR="0" wp14:anchorId="59178628" wp14:editId="7682980D">
                  <wp:extent cx="942975" cy="942975"/>
                  <wp:effectExtent l="0" t="0" r="0" b="0"/>
                  <wp:docPr id="1" name="Image 1" descr="Registra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3"/>
                          <a:stretch>
                            <a:fillRect/>
                          </a:stretch>
                        </pic:blipFill>
                        <pic:spPr>
                          <a:xfrm>
                            <a:off x="0" y="0"/>
                            <a:ext cx="942975" cy="942975"/>
                          </a:xfrm>
                          <a:prstGeom prst="rect">
                            <a:avLst/>
                          </a:prstGeom>
                        </pic:spPr>
                      </pic:pic>
                    </a:graphicData>
                  </a:graphic>
                </wp:inline>
              </w:drawing>
            </w:r>
          </w:p>
        </w:tc>
        <w:tc>
          <w:tcPr>
            <w:tcW w:w="2256" w:type="dxa"/>
          </w:tcPr>
          <w:p w14:paraId="489D2DEF" w14:textId="77777777" w:rsidR="0054524C" w:rsidRDefault="0054524C"/>
        </w:tc>
        <w:tc>
          <w:tcPr>
            <w:tcW w:w="2256" w:type="dxa"/>
          </w:tcPr>
          <w:p w14:paraId="50F7F7AD" w14:textId="77777777" w:rsidR="0054524C" w:rsidRDefault="0054524C"/>
        </w:tc>
      </w:tr>
    </w:tbl>
    <w:p w14:paraId="2517C0D9" w14:textId="77777777" w:rsidR="0054524C" w:rsidRDefault="0054524C">
      <w:pPr>
        <w:jc w:val="center"/>
      </w:pPr>
    </w:p>
    <w:sectPr w:rsidR="0054524C">
      <w:headerReference w:type="default" r:id="rId24"/>
      <w:footerReference w:type="default" r:id="rId25"/>
      <w:headerReference w:type="first" r:id="rId26"/>
      <w:footerReference w:type="first" r:id="rId27"/>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260B" w14:textId="77777777" w:rsidR="003C55A3" w:rsidRDefault="003C55A3">
      <w:r>
        <w:separator/>
      </w:r>
    </w:p>
  </w:endnote>
  <w:endnote w:type="continuationSeparator" w:id="0">
    <w:p w14:paraId="363101A9" w14:textId="77777777" w:rsidR="003C55A3" w:rsidRDefault="003C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A5A6" w14:textId="77777777" w:rsidR="00CE4E97" w:rsidRDefault="007835C0">
    <w:pPr>
      <w:jc w:val="center"/>
    </w:pPr>
    <w:r>
      <w:rPr>
        <w:color w:val="000000"/>
        <w:sz w:val="18"/>
      </w:rPr>
      <w:t>12</w:t>
    </w:r>
    <w:r w:rsidR="00633083">
      <w:rPr>
        <w:color w:val="000000"/>
        <w:sz w:val="18"/>
      </w:rPr>
      <w:t>/</w:t>
    </w:r>
    <w:r>
      <w:rPr>
        <w:color w:val="000000"/>
        <w:sz w:val="18"/>
      </w:rPr>
      <w:t>06</w:t>
    </w:r>
    <w:r w:rsidR="00633083">
      <w:rPr>
        <w:color w:val="000000"/>
        <w:sz w:val="18"/>
      </w:rPr>
      <w:t>/</w:t>
    </w:r>
    <w:r>
      <w:rPr>
        <w:color w:val="000000"/>
        <w:sz w:val="18"/>
      </w:rPr>
      <w:t>2025</w:t>
    </w:r>
    <w:r w:rsidR="00633083">
      <w:rPr>
        <w:color w:val="000000"/>
        <w:sz w:val="18"/>
      </w:rPr>
      <w:t xml:space="preserve">, R 95/2025-1, PB (fig.)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F4E8" w14:textId="77777777" w:rsidR="00CE4E97" w:rsidRDefault="00CE4E97">
    <w:pPr>
      <w:pBdr>
        <w:bottom w:val="single" w:sz="6" w:space="1" w:color="595959"/>
      </w:pBdr>
    </w:pPr>
  </w:p>
  <w:p w14:paraId="18124904" w14:textId="77777777" w:rsidR="00CE4E97" w:rsidRPr="002F7E0E" w:rsidRDefault="00633083" w:rsidP="002F7E0E">
    <w:pPr>
      <w:pStyle w:val="1stFooterLanguage"/>
      <w:rPr>
        <w:lang w:val="fr-FR"/>
      </w:rPr>
    </w:pPr>
    <w:r w:rsidRPr="002F7E0E">
      <w:rPr>
        <w:lang w:val="fr-FR"/>
      </w:rPr>
      <w:t>Langue de procédure : français</w:t>
    </w:r>
  </w:p>
  <w:p w14:paraId="1087E50A" w14:textId="77777777" w:rsidR="00CE4E97" w:rsidRPr="002F7E0E" w:rsidRDefault="007835C0">
    <w:pPr>
      <w:jc w:val="center"/>
      <w:rPr>
        <w:lang w:val="fr-FR"/>
      </w:rPr>
    </w:pPr>
    <w:r>
      <w:rPr>
        <w:color w:val="000000"/>
        <w:sz w:val="18"/>
        <w:lang w:val="fr-FR"/>
      </w:rPr>
      <w:t>12</w:t>
    </w:r>
    <w:r w:rsidR="00633083" w:rsidRPr="002F7E0E">
      <w:rPr>
        <w:color w:val="000000"/>
        <w:sz w:val="18"/>
        <w:lang w:val="fr-FR"/>
      </w:rPr>
      <w:t>/</w:t>
    </w:r>
    <w:r>
      <w:rPr>
        <w:color w:val="000000"/>
        <w:sz w:val="18"/>
        <w:lang w:val="fr-FR"/>
      </w:rPr>
      <w:t>06</w:t>
    </w:r>
    <w:r w:rsidR="00633083" w:rsidRPr="002F7E0E">
      <w:rPr>
        <w:color w:val="000000"/>
        <w:sz w:val="18"/>
        <w:lang w:val="fr-FR"/>
      </w:rPr>
      <w:t>/</w:t>
    </w:r>
    <w:r>
      <w:rPr>
        <w:color w:val="000000"/>
        <w:sz w:val="18"/>
        <w:lang w:val="fr-FR"/>
      </w:rPr>
      <w:t>2025</w:t>
    </w:r>
    <w:r w:rsidR="00633083" w:rsidRPr="002F7E0E">
      <w:rPr>
        <w:color w:val="000000"/>
        <w:sz w:val="18"/>
        <w:lang w:val="fr-FR"/>
      </w:rPr>
      <w:t xml:space="preserve">, R 95/2025-1, PB (fig.)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E503" w14:textId="77777777" w:rsidR="003C55A3" w:rsidRDefault="003C55A3">
      <w:r>
        <w:separator/>
      </w:r>
    </w:p>
  </w:footnote>
  <w:footnote w:type="continuationSeparator" w:id="0">
    <w:p w14:paraId="608A8AE5" w14:textId="77777777" w:rsidR="003C55A3" w:rsidRDefault="003C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821F" w14:textId="77777777" w:rsidR="00CE4E97" w:rsidRDefault="00633083">
    <w:pPr>
      <w:spacing w:before="240"/>
      <w:jc w:val="center"/>
    </w:pPr>
    <w:r>
      <w:fldChar w:fldCharType="begin"/>
    </w:r>
    <w:r>
      <w:instrText xml:space="preserve"> PAGE \* MERGEFORMAT </w:instrText>
    </w:r>
    <w:r>
      <w:fldChar w:fldCharType="separate"/>
    </w:r>
    <w:r w:rsidR="002F7E0E">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D340" w14:textId="77777777" w:rsidR="00CE4E97" w:rsidRDefault="00633083">
    <w:r>
      <w:rPr>
        <w:noProof/>
      </w:rPr>
      <w:drawing>
        <wp:inline distT="0" distB="0" distL="0" distR="0" wp14:anchorId="3D0428F4" wp14:editId="63A3FB18">
          <wp:extent cx="1587500" cy="398159"/>
          <wp:effectExtent l="0" t="0" r="0" b="0"/>
          <wp:docPr id="172350607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398159"/>
                  </a:xfrm>
                  <a:prstGeom prst="rect">
                    <a:avLst/>
                  </a:prstGeom>
                </pic:spPr>
              </pic:pic>
            </a:graphicData>
          </a:graphic>
        </wp:inline>
      </w:drawing>
    </w:r>
  </w:p>
  <w:p w14:paraId="415FF360" w14:textId="77777777" w:rsidR="00CE4E97" w:rsidRDefault="00633083">
    <w:pPr>
      <w:pBdr>
        <w:bottom w:val="single" w:sz="6" w:space="1" w:color="595959"/>
      </w:pBdr>
      <w:jc w:val="right"/>
    </w:pPr>
    <w:r>
      <w:rPr>
        <w:rFonts w:ascii="Arial" w:eastAsia="Arial" w:hAnsi="Arial" w:cs="Arial"/>
        <w:b/>
        <w:color w:val="595959"/>
        <w:sz w:val="18"/>
      </w:rPr>
      <w:t>LES CHAMBRES DE RECOURS</w:t>
    </w:r>
  </w:p>
  <w:p w14:paraId="19087B67" w14:textId="77777777" w:rsidR="00CE4E97" w:rsidRDefault="00CE4E97">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982"/>
    <w:multiLevelType w:val="hybridMultilevel"/>
    <w:tmpl w:val="D33C582C"/>
    <w:lvl w:ilvl="0" w:tplc="19BCB28E">
      <w:start w:val="1"/>
      <w:numFmt w:val="bullet"/>
      <w:pStyle w:val="Bullet2"/>
      <w:lvlText w:val=""/>
      <w:lvlJc w:val="left"/>
      <w:pPr>
        <w:tabs>
          <w:tab w:val="num" w:pos="851"/>
        </w:tabs>
        <w:ind w:left="851" w:hanging="426"/>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33274"/>
    <w:multiLevelType w:val="hybridMultilevel"/>
    <w:tmpl w:val="9BD6D386"/>
    <w:lvl w:ilvl="0" w:tplc="1FCC5454">
      <w:start w:val="1"/>
      <w:numFmt w:val="lowerLetter"/>
      <w:pStyle w:val="TMs-ListHeading"/>
      <w:lvlText w:val="%1)"/>
      <w:lvlJc w:val="left"/>
      <w:pPr>
        <w:tabs>
          <w:tab w:val="num" w:pos="851"/>
        </w:tabs>
        <w:ind w:left="851" w:hanging="426"/>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405F3AA9"/>
    <w:multiLevelType w:val="hybridMultilevel"/>
    <w:tmpl w:val="1A801F50"/>
    <w:lvl w:ilvl="0" w:tplc="79229214">
      <w:start w:val="1"/>
      <w:numFmt w:val="lowerLetter"/>
      <w:pStyle w:val="Titre3"/>
      <w:lvlText w:val="%1)"/>
      <w:lvlJc w:val="left"/>
      <w:pPr>
        <w:tabs>
          <w:tab w:val="num" w:pos="851"/>
        </w:tabs>
        <w:ind w:left="851" w:hanging="426"/>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0712588"/>
    <w:multiLevelType w:val="multilevel"/>
    <w:tmpl w:val="077C94DA"/>
    <w:lvl w:ilvl="0">
      <w:start w:val="1"/>
      <w:numFmt w:val="decimal"/>
      <w:lvlText w:val="%1"/>
      <w:lvlJc w:val="left"/>
      <w:pPr>
        <w:tabs>
          <w:tab w:val="left" w:pos="567"/>
        </w:tabs>
        <w:ind w:left="567" w:hanging="567"/>
      </w:pPr>
    </w:lvl>
    <w:lvl w:ilvl="1">
      <w:start w:val="1"/>
      <w:numFmt w:val="bullet"/>
      <w:lvlText w:val="-"/>
      <w:lvlJc w:val="left"/>
      <w:pPr>
        <w:tabs>
          <w:tab w:val="left" w:pos="1134"/>
        </w:tabs>
        <w:ind w:left="1134" w:hanging="56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A963B2"/>
    <w:multiLevelType w:val="hybridMultilevel"/>
    <w:tmpl w:val="58F89544"/>
    <w:lvl w:ilvl="0" w:tplc="BB32EE2A">
      <w:start w:val="1"/>
      <w:numFmt w:val="decimal"/>
      <w:pStyle w:val="NumberedOrder"/>
      <w:lvlText w:val="%1."/>
      <w:lvlJc w:val="left"/>
      <w:pPr>
        <w:tabs>
          <w:tab w:val="num" w:pos="851"/>
        </w:tabs>
        <w:ind w:left="851" w:hanging="426"/>
      </w:pPr>
      <w:rPr>
        <w:rFonts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3457BA"/>
    <w:multiLevelType w:val="hybridMultilevel"/>
    <w:tmpl w:val="2E8404E4"/>
    <w:lvl w:ilvl="0" w:tplc="922AE448">
      <w:start w:val="1"/>
      <w:numFmt w:val="decimal"/>
      <w:pStyle w:val="Numbered1"/>
      <w:lvlText w:val="%1"/>
      <w:lvlJc w:val="left"/>
      <w:pPr>
        <w:tabs>
          <w:tab w:val="num" w:pos="425"/>
        </w:tabs>
        <w:ind w:left="425" w:hanging="425"/>
      </w:pPr>
      <w:rPr>
        <w:rFonts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6D720306"/>
    <w:multiLevelType w:val="hybridMultilevel"/>
    <w:tmpl w:val="0B4CE51A"/>
    <w:lvl w:ilvl="0" w:tplc="9BD83D76">
      <w:start w:val="1"/>
      <w:numFmt w:val="bullet"/>
      <w:pStyle w:val="Bullet3"/>
      <w:lvlText w:val="•"/>
      <w:lvlJc w:val="left"/>
      <w:pPr>
        <w:tabs>
          <w:tab w:val="num" w:pos="1276"/>
        </w:tabs>
        <w:ind w:left="1276" w:hanging="425"/>
      </w:pPr>
      <w:rPr>
        <w:rFonts w:ascii="Times New Roman" w:hAnsi="Times New Roman" w:cs="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088116417">
    <w:abstractNumId w:val="0"/>
  </w:num>
  <w:num w:numId="2" w16cid:durableId="1953509845">
    <w:abstractNumId w:val="6"/>
  </w:num>
  <w:num w:numId="3" w16cid:durableId="39745215">
    <w:abstractNumId w:val="2"/>
  </w:num>
  <w:num w:numId="4" w16cid:durableId="1396859251">
    <w:abstractNumId w:val="5"/>
  </w:num>
  <w:num w:numId="5" w16cid:durableId="1453548456">
    <w:abstractNumId w:val="4"/>
  </w:num>
  <w:num w:numId="6" w16cid:durableId="1841919116">
    <w:abstractNumId w:val="1"/>
  </w:num>
  <w:num w:numId="7" w16cid:durableId="77018608">
    <w:abstractNumId w:val="0"/>
  </w:num>
  <w:num w:numId="8" w16cid:durableId="519196353">
    <w:abstractNumId w:val="3"/>
  </w:num>
  <w:num w:numId="9" w16cid:durableId="12531876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97"/>
    <w:rsid w:val="00070603"/>
    <w:rsid w:val="00085112"/>
    <w:rsid w:val="00090C46"/>
    <w:rsid w:val="000962CE"/>
    <w:rsid w:val="000A104F"/>
    <w:rsid w:val="000A1094"/>
    <w:rsid w:val="000B5453"/>
    <w:rsid w:val="000E053C"/>
    <w:rsid w:val="000F28E7"/>
    <w:rsid w:val="000F4CEC"/>
    <w:rsid w:val="00173AE1"/>
    <w:rsid w:val="001740D3"/>
    <w:rsid w:val="00184CC9"/>
    <w:rsid w:val="001873AF"/>
    <w:rsid w:val="001B1C85"/>
    <w:rsid w:val="001D087B"/>
    <w:rsid w:val="0021687B"/>
    <w:rsid w:val="00233A1D"/>
    <w:rsid w:val="00240810"/>
    <w:rsid w:val="00247408"/>
    <w:rsid w:val="00250E8C"/>
    <w:rsid w:val="00250EC4"/>
    <w:rsid w:val="00285784"/>
    <w:rsid w:val="002875DE"/>
    <w:rsid w:val="00296172"/>
    <w:rsid w:val="00296970"/>
    <w:rsid w:val="002F7E0E"/>
    <w:rsid w:val="0038705E"/>
    <w:rsid w:val="00396588"/>
    <w:rsid w:val="00397AA8"/>
    <w:rsid w:val="003B5CF4"/>
    <w:rsid w:val="003C55A3"/>
    <w:rsid w:val="003D5424"/>
    <w:rsid w:val="003F40AC"/>
    <w:rsid w:val="00421702"/>
    <w:rsid w:val="00433CC3"/>
    <w:rsid w:val="00452260"/>
    <w:rsid w:val="00485715"/>
    <w:rsid w:val="004937ED"/>
    <w:rsid w:val="00497120"/>
    <w:rsid w:val="004A1004"/>
    <w:rsid w:val="004A1533"/>
    <w:rsid w:val="004D0783"/>
    <w:rsid w:val="004E511C"/>
    <w:rsid w:val="0051209D"/>
    <w:rsid w:val="00541FCB"/>
    <w:rsid w:val="005434D5"/>
    <w:rsid w:val="0054524C"/>
    <w:rsid w:val="005A43AC"/>
    <w:rsid w:val="005A4F94"/>
    <w:rsid w:val="005C4AC3"/>
    <w:rsid w:val="005D2275"/>
    <w:rsid w:val="00626990"/>
    <w:rsid w:val="00633083"/>
    <w:rsid w:val="00662F6E"/>
    <w:rsid w:val="00696007"/>
    <w:rsid w:val="006F52B7"/>
    <w:rsid w:val="007143A1"/>
    <w:rsid w:val="00721EE2"/>
    <w:rsid w:val="00766043"/>
    <w:rsid w:val="007835C0"/>
    <w:rsid w:val="007F5D26"/>
    <w:rsid w:val="00804AD9"/>
    <w:rsid w:val="00812797"/>
    <w:rsid w:val="008133BF"/>
    <w:rsid w:val="0083390E"/>
    <w:rsid w:val="00842C54"/>
    <w:rsid w:val="008C2CEE"/>
    <w:rsid w:val="008F0222"/>
    <w:rsid w:val="008F109C"/>
    <w:rsid w:val="0093051B"/>
    <w:rsid w:val="00940D8E"/>
    <w:rsid w:val="009635F0"/>
    <w:rsid w:val="009B5CFC"/>
    <w:rsid w:val="009D154B"/>
    <w:rsid w:val="00A34552"/>
    <w:rsid w:val="00A35B1E"/>
    <w:rsid w:val="00A515BD"/>
    <w:rsid w:val="00A61290"/>
    <w:rsid w:val="00A67CF2"/>
    <w:rsid w:val="00A71AFF"/>
    <w:rsid w:val="00A770CB"/>
    <w:rsid w:val="00A8055A"/>
    <w:rsid w:val="00A91F31"/>
    <w:rsid w:val="00AA1365"/>
    <w:rsid w:val="00AB2D48"/>
    <w:rsid w:val="00AE39A8"/>
    <w:rsid w:val="00AE59A3"/>
    <w:rsid w:val="00B00A6E"/>
    <w:rsid w:val="00B45E25"/>
    <w:rsid w:val="00B90A05"/>
    <w:rsid w:val="00B90D13"/>
    <w:rsid w:val="00BD17E7"/>
    <w:rsid w:val="00BD2952"/>
    <w:rsid w:val="00C00DB7"/>
    <w:rsid w:val="00C67FE1"/>
    <w:rsid w:val="00C76808"/>
    <w:rsid w:val="00C816D1"/>
    <w:rsid w:val="00CA2E7E"/>
    <w:rsid w:val="00CE4E97"/>
    <w:rsid w:val="00D142FD"/>
    <w:rsid w:val="00D27DE3"/>
    <w:rsid w:val="00D4347B"/>
    <w:rsid w:val="00D43791"/>
    <w:rsid w:val="00D6290E"/>
    <w:rsid w:val="00DA3323"/>
    <w:rsid w:val="00DB74DB"/>
    <w:rsid w:val="00DC0911"/>
    <w:rsid w:val="00DE6D80"/>
    <w:rsid w:val="00DF2564"/>
    <w:rsid w:val="00E05163"/>
    <w:rsid w:val="00E079C0"/>
    <w:rsid w:val="00E2548D"/>
    <w:rsid w:val="00E618B3"/>
    <w:rsid w:val="00E73D52"/>
    <w:rsid w:val="00EC4B9E"/>
    <w:rsid w:val="00ED31CA"/>
    <w:rsid w:val="00F02F56"/>
    <w:rsid w:val="00F41F8E"/>
    <w:rsid w:val="00F42AAF"/>
    <w:rsid w:val="00F84664"/>
    <w:rsid w:val="00FA15BF"/>
    <w:rsid w:val="00FA379F"/>
    <w:rsid w:val="00FB32A3"/>
    <w:rsid w:val="00FB69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FDF"/>
  <w15:docId w15:val="{CC0CAB4F-63F9-4B27-87A6-61F86E2A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IE" w:eastAsia="en-IE"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0" w:qFormat="1"/>
    <w:lsdException w:name="heading 3" w:uiPriority="9" w:qFormat="1"/>
    <w:lsdException w:name="heading 4" w:uiPriority="9"/>
    <w:lsdException w:name="heading 8" w:semiHidden="1" w:unhideWhenUsed="1"/>
    <w:lsdException w:name="heading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page number" w:semiHidden="1"/>
    <w:lsdException w:name="table of authorities" w:semiHidden="1" w:unhideWhenUsed="1"/>
    <w:lsdException w:name="List" w:semiHidden="1" w:unhideWhenUsed="1"/>
    <w:lsdException w:name="List Bullet" w:semiHidden="1" w:unhideWhenUsed="1"/>
    <w:lsdException w:name="List Number" w:semiHidden="1" w:uiPriority="0" w:unhideWhenUsed="1"/>
    <w:lsdException w:name="Title" w:uiPriority="10"/>
    <w:lsdException w:name="Signature"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lsdException w:name="Strong" w:uiPriority="22"/>
    <w:lsdException w:name="Emphasis" w:uiPriority="20"/>
    <w:lsdException w:name="Document Map"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7E0E"/>
    <w:rPr>
      <w:kern w:val="2"/>
      <w:sz w:val="24"/>
      <w:lang w:val="en-GB" w:eastAsia="en-US"/>
      <w14:ligatures w14:val="standardContextual"/>
    </w:rPr>
  </w:style>
  <w:style w:type="paragraph" w:styleId="Titre1">
    <w:name w:val="heading 1"/>
    <w:basedOn w:val="Normal"/>
    <w:next w:val="Normal"/>
    <w:link w:val="Titre1Car"/>
    <w:uiPriority w:val="1"/>
    <w:qFormat/>
    <w:rsid w:val="002F7E0E"/>
    <w:pPr>
      <w:keepNext/>
      <w:spacing w:before="360" w:after="120"/>
      <w:ind w:left="425"/>
      <w:jc w:val="both"/>
      <w:outlineLvl w:val="0"/>
    </w:pPr>
    <w:rPr>
      <w:b/>
      <w:bCs/>
      <w:szCs w:val="24"/>
    </w:rPr>
  </w:style>
  <w:style w:type="paragraph" w:styleId="Titre2">
    <w:name w:val="heading 2"/>
    <w:basedOn w:val="Normal"/>
    <w:next w:val="Normal"/>
    <w:link w:val="Titre2Car"/>
    <w:qFormat/>
    <w:rsid w:val="00B90D13"/>
    <w:pPr>
      <w:keepNext/>
      <w:spacing w:before="240" w:after="120"/>
      <w:ind w:left="425"/>
      <w:jc w:val="both"/>
      <w:outlineLvl w:val="1"/>
    </w:pPr>
    <w:rPr>
      <w:i/>
      <w:iCs/>
      <w:szCs w:val="24"/>
    </w:rPr>
  </w:style>
  <w:style w:type="paragraph" w:styleId="Titre3">
    <w:name w:val="heading 3"/>
    <w:basedOn w:val="Normal"/>
    <w:next w:val="Normal"/>
    <w:link w:val="Titre3Car"/>
    <w:uiPriority w:val="9"/>
    <w:rsid w:val="002F7E0E"/>
    <w:pPr>
      <w:keepNext/>
      <w:numPr>
        <w:numId w:val="3"/>
      </w:numPr>
      <w:spacing w:before="120" w:after="120"/>
      <w:jc w:val="both"/>
      <w:outlineLvl w:val="2"/>
    </w:pPr>
    <w:rPr>
      <w:szCs w:val="24"/>
    </w:rPr>
  </w:style>
  <w:style w:type="paragraph" w:styleId="Titre4">
    <w:name w:val="heading 4"/>
    <w:basedOn w:val="Normal"/>
    <w:next w:val="Normal"/>
    <w:link w:val="Titre4Car"/>
    <w:uiPriority w:val="9"/>
    <w:rsid w:val="002F7E0E"/>
    <w:pPr>
      <w:keepNext/>
      <w:spacing w:before="360"/>
      <w:jc w:val="center"/>
      <w:outlineLvl w:val="3"/>
    </w:pPr>
    <w:rPr>
      <w:b/>
      <w:bCs/>
      <w:caps/>
    </w:rPr>
  </w:style>
  <w:style w:type="paragraph" w:styleId="Titre5">
    <w:name w:val="heading 5"/>
    <w:basedOn w:val="Normal"/>
    <w:next w:val="Normal"/>
    <w:link w:val="Titre5Car"/>
    <w:uiPriority w:val="99"/>
    <w:semiHidden/>
    <w:rsid w:val="002F7E0E"/>
    <w:pPr>
      <w:jc w:val="right"/>
      <w:outlineLvl w:val="4"/>
    </w:pPr>
  </w:style>
  <w:style w:type="paragraph" w:styleId="Titre6">
    <w:name w:val="heading 6"/>
    <w:basedOn w:val="Normal"/>
    <w:next w:val="Normal"/>
    <w:link w:val="Titre6Car"/>
    <w:uiPriority w:val="99"/>
    <w:semiHidden/>
    <w:rsid w:val="002F7E0E"/>
    <w:pPr>
      <w:keepNext/>
      <w:spacing w:before="360" w:after="360"/>
      <w:ind w:right="420"/>
      <w:jc w:val="center"/>
      <w:outlineLvl w:val="5"/>
    </w:pPr>
  </w:style>
  <w:style w:type="paragraph" w:styleId="Titre7">
    <w:name w:val="heading 7"/>
    <w:basedOn w:val="Normal"/>
    <w:next w:val="Normal"/>
    <w:link w:val="Titre7Car"/>
    <w:uiPriority w:val="99"/>
    <w:semiHidden/>
    <w:rsid w:val="002F7E0E"/>
    <w:pPr>
      <w:outlineLvl w:val="6"/>
    </w:pPr>
    <w:rPr>
      <w:b/>
    </w:rPr>
  </w:style>
  <w:style w:type="paragraph" w:styleId="Titre8">
    <w:name w:val="heading 8"/>
    <w:basedOn w:val="Titre1"/>
    <w:next w:val="Normal"/>
    <w:link w:val="Titre8Car"/>
    <w:uiPriority w:val="99"/>
    <w:semiHidden/>
    <w:rsid w:val="002F7E0E"/>
    <w:pPr>
      <w:outlineLvl w:val="7"/>
    </w:pPr>
  </w:style>
  <w:style w:type="paragraph" w:styleId="Titre9">
    <w:name w:val="heading 9"/>
    <w:basedOn w:val="Normal"/>
    <w:next w:val="Normal"/>
    <w:link w:val="Titre9Car"/>
    <w:uiPriority w:val="99"/>
    <w:semiHidden/>
    <w:unhideWhenUsed/>
    <w:rsid w:val="002F7E0E"/>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locked/>
    <w:rsid w:val="002F7E0E"/>
    <w:rPr>
      <w:b/>
      <w:bCs/>
      <w:kern w:val="2"/>
      <w:sz w:val="24"/>
      <w:szCs w:val="24"/>
      <w:lang w:val="en-GB" w:eastAsia="en-US"/>
      <w14:ligatures w14:val="standardContextual"/>
    </w:rPr>
  </w:style>
  <w:style w:type="character" w:customStyle="1" w:styleId="Titre2Car">
    <w:name w:val="Titre 2 Car"/>
    <w:link w:val="Titre2"/>
    <w:locked/>
    <w:rsid w:val="00B90D13"/>
    <w:rPr>
      <w:i/>
      <w:iCs/>
      <w:kern w:val="2"/>
      <w:sz w:val="24"/>
      <w:szCs w:val="24"/>
      <w:lang w:val="en-GB" w:eastAsia="en-US"/>
      <w14:ligatures w14:val="standardContextual"/>
    </w:rPr>
  </w:style>
  <w:style w:type="character" w:customStyle="1" w:styleId="Titre3Car">
    <w:name w:val="Titre 3 Car"/>
    <w:basedOn w:val="Policepardfaut"/>
    <w:link w:val="Titre3"/>
    <w:uiPriority w:val="9"/>
    <w:locked/>
    <w:rsid w:val="002F7E0E"/>
    <w:rPr>
      <w:kern w:val="2"/>
      <w:sz w:val="24"/>
      <w:szCs w:val="24"/>
      <w:lang w:val="en-GB" w:eastAsia="en-US"/>
      <w14:ligatures w14:val="standardContextual"/>
    </w:rPr>
  </w:style>
  <w:style w:type="character" w:customStyle="1" w:styleId="Titre4Car">
    <w:name w:val="Titre 4 Car"/>
    <w:basedOn w:val="Policepardfaut"/>
    <w:link w:val="Titre4"/>
    <w:uiPriority w:val="9"/>
    <w:locked/>
    <w:rsid w:val="002F7E0E"/>
    <w:rPr>
      <w:b/>
      <w:bCs/>
      <w:caps/>
      <w:kern w:val="2"/>
      <w:sz w:val="24"/>
      <w:lang w:val="en-GB" w:eastAsia="en-US"/>
      <w14:ligatures w14:val="standardContextual"/>
    </w:rPr>
  </w:style>
  <w:style w:type="character" w:customStyle="1" w:styleId="Titre5Car">
    <w:name w:val="Titre 5 Car"/>
    <w:basedOn w:val="Policepardfaut"/>
    <w:link w:val="Titre5"/>
    <w:uiPriority w:val="99"/>
    <w:semiHidden/>
    <w:locked/>
    <w:rsid w:val="002F7E0E"/>
    <w:rPr>
      <w:kern w:val="2"/>
      <w:sz w:val="24"/>
      <w:lang w:val="en-GB" w:eastAsia="en-US"/>
      <w14:ligatures w14:val="standardContextual"/>
    </w:rPr>
  </w:style>
  <w:style w:type="character" w:customStyle="1" w:styleId="Titre6Car">
    <w:name w:val="Titre 6 Car"/>
    <w:basedOn w:val="Policepardfaut"/>
    <w:link w:val="Titre6"/>
    <w:uiPriority w:val="99"/>
    <w:semiHidden/>
    <w:locked/>
    <w:rsid w:val="002F7E0E"/>
    <w:rPr>
      <w:kern w:val="2"/>
      <w:sz w:val="24"/>
      <w:lang w:val="en-GB" w:eastAsia="en-US"/>
      <w14:ligatures w14:val="standardContextual"/>
    </w:rPr>
  </w:style>
  <w:style w:type="character" w:customStyle="1" w:styleId="Titre7Car">
    <w:name w:val="Titre 7 Car"/>
    <w:basedOn w:val="Policepardfaut"/>
    <w:link w:val="Titre7"/>
    <w:uiPriority w:val="99"/>
    <w:semiHidden/>
    <w:locked/>
    <w:rsid w:val="002F7E0E"/>
    <w:rPr>
      <w:b/>
      <w:kern w:val="2"/>
      <w:sz w:val="24"/>
      <w:lang w:val="en-GB" w:eastAsia="en-US"/>
      <w14:ligatures w14:val="standardContextual"/>
    </w:rPr>
  </w:style>
  <w:style w:type="character" w:customStyle="1" w:styleId="Titre8Car">
    <w:name w:val="Titre 8 Car"/>
    <w:basedOn w:val="Policepardfaut"/>
    <w:link w:val="Titre8"/>
    <w:uiPriority w:val="99"/>
    <w:semiHidden/>
    <w:locked/>
    <w:rsid w:val="002F7E0E"/>
    <w:rPr>
      <w:b/>
      <w:bCs/>
      <w:kern w:val="2"/>
      <w:sz w:val="24"/>
      <w:szCs w:val="24"/>
      <w:lang w:val="en-GB" w:eastAsia="en-US"/>
      <w14:ligatures w14:val="standardContextual"/>
    </w:rPr>
  </w:style>
  <w:style w:type="character" w:customStyle="1" w:styleId="Titre9Car">
    <w:name w:val="Titre 9 Car"/>
    <w:basedOn w:val="Policepardfaut"/>
    <w:link w:val="Titre9"/>
    <w:uiPriority w:val="99"/>
    <w:semiHidden/>
    <w:locked/>
    <w:rsid w:val="002F7E0E"/>
    <w:rPr>
      <w:rFonts w:ascii="Cambria" w:hAnsi="Cambria"/>
      <w:kern w:val="2"/>
      <w:szCs w:val="22"/>
      <w:lang w:val="en-GB" w:eastAsia="en-US"/>
      <w14:ligatures w14:val="standardContextual"/>
    </w:rPr>
  </w:style>
  <w:style w:type="paragraph" w:styleId="Explorateurdedocuments">
    <w:name w:val="Document Map"/>
    <w:basedOn w:val="Normal"/>
    <w:link w:val="ExplorateurdedocumentsCar"/>
    <w:uiPriority w:val="99"/>
    <w:semiHidden/>
    <w:rsid w:val="00F65B63"/>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Pr>
      <w:rFonts w:ascii="Tahoma" w:hAnsi="Tahoma" w:cs="Times New Roman"/>
      <w:sz w:val="16"/>
      <w:lang w:val="x-none" w:eastAsia="en-US"/>
    </w:rPr>
  </w:style>
  <w:style w:type="paragraph" w:customStyle="1" w:styleId="TM">
    <w:name w:val="TM"/>
    <w:basedOn w:val="Normal"/>
    <w:next w:val="Continue2"/>
    <w:qFormat/>
    <w:rsid w:val="002F7E0E"/>
    <w:pPr>
      <w:keepNext/>
      <w:spacing w:before="360" w:after="360"/>
      <w:jc w:val="center"/>
    </w:pPr>
    <w:rPr>
      <w:b/>
      <w:bCs/>
      <w:szCs w:val="24"/>
    </w:rPr>
  </w:style>
  <w:style w:type="paragraph" w:customStyle="1" w:styleId="Class1">
    <w:name w:val="Class1"/>
    <w:basedOn w:val="Normal"/>
    <w:qFormat/>
    <w:rsid w:val="002F7E0E"/>
    <w:pPr>
      <w:spacing w:before="120" w:after="120"/>
      <w:ind w:left="425"/>
      <w:jc w:val="both"/>
    </w:pPr>
    <w:rPr>
      <w:sz w:val="20"/>
    </w:rPr>
  </w:style>
  <w:style w:type="paragraph" w:customStyle="1" w:styleId="Numbered1">
    <w:name w:val="Numbered1"/>
    <w:basedOn w:val="Normal"/>
    <w:link w:val="Numbered1Char"/>
    <w:qFormat/>
    <w:rsid w:val="002F7E0E"/>
    <w:pPr>
      <w:numPr>
        <w:numId w:val="4"/>
      </w:numPr>
      <w:spacing w:before="120" w:after="120"/>
      <w:jc w:val="both"/>
    </w:pPr>
    <w:rPr>
      <w:szCs w:val="24"/>
    </w:rPr>
  </w:style>
  <w:style w:type="character" w:customStyle="1" w:styleId="Numbered1Char">
    <w:name w:val="Numbered1 Char"/>
    <w:link w:val="Numbered1"/>
    <w:locked/>
    <w:rsid w:val="002F7E0E"/>
    <w:rPr>
      <w:kern w:val="2"/>
      <w:sz w:val="24"/>
      <w:szCs w:val="24"/>
      <w:lang w:val="en-GB" w:eastAsia="en-US"/>
      <w14:ligatures w14:val="standardContextual"/>
    </w:rPr>
  </w:style>
  <w:style w:type="paragraph" w:customStyle="1" w:styleId="NumberedOrder">
    <w:name w:val="NumberedOrder"/>
    <w:basedOn w:val="Continue1"/>
    <w:uiPriority w:val="1"/>
    <w:qFormat/>
    <w:rsid w:val="002F7E0E"/>
    <w:pPr>
      <w:numPr>
        <w:numId w:val="5"/>
      </w:numPr>
    </w:pPr>
    <w:rPr>
      <w:b/>
      <w:bCs/>
    </w:rPr>
  </w:style>
  <w:style w:type="character" w:styleId="Marquedecommentaire">
    <w:name w:val="annotation reference"/>
    <w:uiPriority w:val="99"/>
    <w:semiHidden/>
    <w:rsid w:val="00F65B63"/>
    <w:rPr>
      <w:rFonts w:cs="Times New Roman"/>
      <w:sz w:val="16"/>
    </w:rPr>
  </w:style>
  <w:style w:type="paragraph" w:styleId="Commentaire">
    <w:name w:val="annotation text"/>
    <w:basedOn w:val="Normal"/>
    <w:link w:val="CommentaireCar"/>
    <w:uiPriority w:val="99"/>
    <w:semiHidden/>
    <w:rsid w:val="00F65B63"/>
    <w:rPr>
      <w:sz w:val="20"/>
    </w:rPr>
  </w:style>
  <w:style w:type="character" w:customStyle="1" w:styleId="CommentaireCar">
    <w:name w:val="Commentaire Car"/>
    <w:link w:val="Commentaire"/>
    <w:uiPriority w:val="99"/>
    <w:semiHidden/>
    <w:locked/>
    <w:rPr>
      <w:rFonts w:cs="Times New Roman"/>
      <w:sz w:val="20"/>
      <w:lang w:val="x-none" w:eastAsia="en-US"/>
    </w:rPr>
  </w:style>
  <w:style w:type="paragraph" w:styleId="Objetducommentaire">
    <w:name w:val="annotation subject"/>
    <w:basedOn w:val="Commentaire"/>
    <w:next w:val="Commentaire"/>
    <w:link w:val="ObjetducommentaireCar"/>
    <w:uiPriority w:val="99"/>
    <w:semiHidden/>
    <w:rsid w:val="00F65B63"/>
    <w:rPr>
      <w:b/>
      <w:bCs/>
    </w:rPr>
  </w:style>
  <w:style w:type="character" w:customStyle="1" w:styleId="ObjetducommentaireCar">
    <w:name w:val="Objet du commentaire Car"/>
    <w:link w:val="Objetducommentaire"/>
    <w:uiPriority w:val="99"/>
    <w:semiHidden/>
    <w:locked/>
    <w:rPr>
      <w:rFonts w:cs="Times New Roman"/>
      <w:b/>
      <w:sz w:val="20"/>
      <w:lang w:val="x-none" w:eastAsia="en-US"/>
    </w:rPr>
  </w:style>
  <w:style w:type="paragraph" w:styleId="Textedebulles">
    <w:name w:val="Balloon Text"/>
    <w:basedOn w:val="Normal"/>
    <w:link w:val="TextedebullesCar"/>
    <w:uiPriority w:val="99"/>
    <w:semiHidden/>
    <w:rsid w:val="00F65B63"/>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cs="Times New Roman"/>
      <w:sz w:val="16"/>
      <w:lang w:val="x-none" w:eastAsia="en-US"/>
    </w:rPr>
  </w:style>
  <w:style w:type="paragraph" w:customStyle="1" w:styleId="1stDecision">
    <w:name w:val="1stDecision"/>
    <w:basedOn w:val="Normal"/>
    <w:uiPriority w:val="3"/>
    <w:rsid w:val="002F7E0E"/>
    <w:pPr>
      <w:jc w:val="center"/>
    </w:pPr>
    <w:rPr>
      <w:b/>
      <w:szCs w:val="24"/>
    </w:rPr>
  </w:style>
  <w:style w:type="paragraph" w:styleId="Listenumros">
    <w:name w:val="List Number"/>
    <w:basedOn w:val="Normal"/>
    <w:uiPriority w:val="99"/>
    <w:semiHidden/>
    <w:unhideWhenUsed/>
    <w:rsid w:val="00FE0FF8"/>
    <w:pPr>
      <w:tabs>
        <w:tab w:val="num" w:pos="360"/>
      </w:tabs>
      <w:ind w:left="360" w:hanging="360"/>
      <w:contextualSpacing/>
    </w:pPr>
  </w:style>
  <w:style w:type="paragraph" w:customStyle="1" w:styleId="TableHeading">
    <w:name w:val="TableHeading"/>
    <w:basedOn w:val="Normal"/>
    <w:uiPriority w:val="2"/>
    <w:rsid w:val="002F7E0E"/>
    <w:pPr>
      <w:spacing w:before="120" w:after="120"/>
      <w:jc w:val="center"/>
    </w:pPr>
    <w:rPr>
      <w:i/>
      <w:szCs w:val="24"/>
    </w:rPr>
  </w:style>
  <w:style w:type="character" w:styleId="Numrodepage">
    <w:name w:val="page number"/>
    <w:basedOn w:val="Policepardfaut"/>
    <w:uiPriority w:val="99"/>
    <w:rsid w:val="002F7E0E"/>
    <w:rPr>
      <w:rFonts w:ascii="Times New Roman" w:hAnsi="Times New Roman" w:cs="Times New Roman"/>
      <w:color w:val="000000"/>
      <w:sz w:val="20"/>
    </w:rPr>
  </w:style>
  <w:style w:type="paragraph" w:customStyle="1" w:styleId="Bullet2">
    <w:name w:val="Bullet2"/>
    <w:basedOn w:val="Normal"/>
    <w:qFormat/>
    <w:rsid w:val="002F7E0E"/>
    <w:pPr>
      <w:numPr>
        <w:numId w:val="1"/>
      </w:numPr>
      <w:spacing w:before="120" w:after="120"/>
      <w:jc w:val="both"/>
    </w:pPr>
    <w:rPr>
      <w:szCs w:val="24"/>
    </w:rPr>
  </w:style>
  <w:style w:type="paragraph" w:customStyle="1" w:styleId="1stNormal">
    <w:name w:val="1stNormal"/>
    <w:basedOn w:val="Normal"/>
    <w:link w:val="1stNormalChar"/>
    <w:uiPriority w:val="3"/>
    <w:qFormat/>
    <w:rsid w:val="002F7E0E"/>
    <w:pPr>
      <w:spacing w:before="120" w:after="120"/>
      <w:jc w:val="both"/>
    </w:pPr>
    <w:rPr>
      <w:szCs w:val="24"/>
    </w:rPr>
  </w:style>
  <w:style w:type="paragraph" w:customStyle="1" w:styleId="1stversus">
    <w:name w:val="1stversus"/>
    <w:basedOn w:val="Normal"/>
    <w:uiPriority w:val="3"/>
    <w:rsid w:val="002F7E0E"/>
    <w:pPr>
      <w:spacing w:before="120" w:after="240"/>
      <w:jc w:val="center"/>
    </w:pPr>
    <w:rPr>
      <w:szCs w:val="24"/>
    </w:rPr>
  </w:style>
  <w:style w:type="paragraph" w:styleId="Pieddepage">
    <w:name w:val="footer"/>
    <w:basedOn w:val="Normal"/>
    <w:link w:val="PieddepageCar"/>
    <w:uiPriority w:val="99"/>
    <w:rsid w:val="002F7E0E"/>
    <w:pPr>
      <w:tabs>
        <w:tab w:val="center" w:pos="4513"/>
        <w:tab w:val="right" w:pos="9026"/>
      </w:tabs>
      <w:jc w:val="center"/>
    </w:pPr>
    <w:rPr>
      <w:sz w:val="18"/>
      <w:szCs w:val="24"/>
    </w:rPr>
  </w:style>
  <w:style w:type="character" w:customStyle="1" w:styleId="PieddepageCar">
    <w:name w:val="Pied de page Car"/>
    <w:basedOn w:val="Policepardfaut"/>
    <w:link w:val="Pieddepage"/>
    <w:uiPriority w:val="99"/>
    <w:locked/>
    <w:rsid w:val="002F7E0E"/>
    <w:rPr>
      <w:kern w:val="2"/>
      <w:sz w:val="18"/>
      <w:szCs w:val="24"/>
      <w:lang w:val="en-GB" w:eastAsia="en-US"/>
      <w14:ligatures w14:val="standardContextual"/>
    </w:rPr>
  </w:style>
  <w:style w:type="paragraph" w:customStyle="1" w:styleId="1stRegistrar">
    <w:name w:val="1stRegistrar"/>
    <w:basedOn w:val="Normal"/>
    <w:rsid w:val="00124BF8"/>
    <w:pPr>
      <w:spacing w:before="360" w:after="360"/>
    </w:pPr>
  </w:style>
  <w:style w:type="table" w:styleId="Grilledutableau">
    <w:name w:val="Table Grid"/>
    <w:basedOn w:val="TableauNormal"/>
    <w:uiPriority w:val="99"/>
    <w:rsid w:val="00FB1001"/>
    <w:pPr>
      <w:jc w:val="both"/>
    </w:pPr>
    <w:rPr>
      <w:sz w:val="24"/>
      <w:szCs w:val="24"/>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Nameofparty">
    <w:name w:val="1stName of party"/>
    <w:basedOn w:val="Normal"/>
    <w:uiPriority w:val="3"/>
    <w:rsid w:val="002F7E0E"/>
    <w:rPr>
      <w:b/>
      <w:szCs w:val="24"/>
    </w:rPr>
  </w:style>
  <w:style w:type="paragraph" w:customStyle="1" w:styleId="1stCAPSCENTERED">
    <w:name w:val="1stCAPS CENTERED"/>
    <w:basedOn w:val="Normal"/>
    <w:link w:val="1stCAPSCENTEREDChar"/>
    <w:uiPriority w:val="3"/>
    <w:rsid w:val="002F7E0E"/>
    <w:pPr>
      <w:spacing w:before="480" w:after="480"/>
      <w:jc w:val="center"/>
    </w:pPr>
    <w:rPr>
      <w:caps/>
    </w:rPr>
  </w:style>
  <w:style w:type="paragraph" w:styleId="En-tte">
    <w:name w:val="header"/>
    <w:basedOn w:val="Normal"/>
    <w:link w:val="En-tteCar"/>
    <w:uiPriority w:val="99"/>
    <w:unhideWhenUsed/>
    <w:rsid w:val="002F7E0E"/>
    <w:pPr>
      <w:spacing w:before="240"/>
      <w:jc w:val="center"/>
    </w:pPr>
    <w:rPr>
      <w:sz w:val="20"/>
    </w:rPr>
  </w:style>
  <w:style w:type="character" w:customStyle="1" w:styleId="En-tteCar">
    <w:name w:val="En-tête Car"/>
    <w:basedOn w:val="Policepardfaut"/>
    <w:link w:val="En-tte"/>
    <w:uiPriority w:val="99"/>
    <w:locked/>
    <w:rsid w:val="002F7E0E"/>
    <w:rPr>
      <w:kern w:val="2"/>
      <w:sz w:val="20"/>
      <w:lang w:val="en-GB" w:eastAsia="en-US"/>
      <w14:ligatures w14:val="standardContextual"/>
    </w:rPr>
  </w:style>
  <w:style w:type="paragraph" w:customStyle="1" w:styleId="1stFooterLanguage">
    <w:name w:val="1stFooter Language"/>
    <w:basedOn w:val="Normal"/>
    <w:uiPriority w:val="3"/>
    <w:qFormat/>
    <w:rsid w:val="002F7E0E"/>
    <w:pPr>
      <w:tabs>
        <w:tab w:val="right" w:pos="437"/>
      </w:tabs>
      <w:spacing w:before="120" w:after="240"/>
      <w:jc w:val="both"/>
    </w:pPr>
    <w:rPr>
      <w:sz w:val="18"/>
      <w:szCs w:val="24"/>
    </w:rPr>
  </w:style>
  <w:style w:type="paragraph" w:customStyle="1" w:styleId="2ndDecision">
    <w:name w:val="2nd Decision"/>
    <w:basedOn w:val="Normal"/>
    <w:uiPriority w:val="3"/>
    <w:rsid w:val="002F7E0E"/>
    <w:pPr>
      <w:pageBreakBefore/>
      <w:spacing w:after="120"/>
      <w:jc w:val="center"/>
    </w:pPr>
    <w:rPr>
      <w:b/>
      <w:szCs w:val="24"/>
    </w:rPr>
  </w:style>
  <w:style w:type="paragraph" w:customStyle="1" w:styleId="1stAddress">
    <w:name w:val="1stAddress"/>
    <w:basedOn w:val="Normal"/>
    <w:uiPriority w:val="3"/>
    <w:rsid w:val="002F7E0E"/>
    <w:rPr>
      <w:szCs w:val="24"/>
    </w:rPr>
  </w:style>
  <w:style w:type="paragraph" w:customStyle="1" w:styleId="1stParty">
    <w:name w:val="1stParty"/>
    <w:basedOn w:val="Normal"/>
    <w:uiPriority w:val="3"/>
    <w:rsid w:val="002F7E0E"/>
    <w:pPr>
      <w:jc w:val="right"/>
    </w:pPr>
  </w:style>
  <w:style w:type="paragraph" w:customStyle="1" w:styleId="Continue1">
    <w:name w:val="Continue1"/>
    <w:basedOn w:val="Normal"/>
    <w:qFormat/>
    <w:rsid w:val="002F7E0E"/>
    <w:pPr>
      <w:spacing w:before="120" w:after="120"/>
      <w:ind w:left="425"/>
      <w:jc w:val="both"/>
    </w:pPr>
    <w:rPr>
      <w:szCs w:val="24"/>
    </w:rPr>
  </w:style>
  <w:style w:type="paragraph" w:customStyle="1" w:styleId="Class2">
    <w:name w:val="Class2"/>
    <w:basedOn w:val="Class1"/>
    <w:uiPriority w:val="1"/>
    <w:qFormat/>
    <w:rsid w:val="002F7E0E"/>
    <w:pPr>
      <w:ind w:left="851"/>
    </w:pPr>
  </w:style>
  <w:style w:type="paragraph" w:customStyle="1" w:styleId="Class1Italics">
    <w:name w:val="Class1_Italics"/>
    <w:basedOn w:val="Class1"/>
    <w:rsid w:val="002F7E0E"/>
    <w:rPr>
      <w:i/>
    </w:rPr>
  </w:style>
  <w:style w:type="paragraph" w:customStyle="1" w:styleId="Continue2">
    <w:name w:val="Continue2"/>
    <w:basedOn w:val="Continue1"/>
    <w:uiPriority w:val="1"/>
    <w:qFormat/>
    <w:rsid w:val="002F7E0E"/>
    <w:pPr>
      <w:ind w:left="851"/>
    </w:pPr>
  </w:style>
  <w:style w:type="paragraph" w:customStyle="1" w:styleId="Bullet3">
    <w:name w:val="Bullet3"/>
    <w:basedOn w:val="Normal"/>
    <w:uiPriority w:val="1"/>
    <w:qFormat/>
    <w:rsid w:val="002F7E0E"/>
    <w:pPr>
      <w:numPr>
        <w:numId w:val="2"/>
      </w:numPr>
      <w:spacing w:before="120" w:after="120"/>
      <w:jc w:val="both"/>
    </w:pPr>
  </w:style>
  <w:style w:type="paragraph" w:customStyle="1" w:styleId="Class2Italics">
    <w:name w:val="Class2_Italics"/>
    <w:basedOn w:val="Class2"/>
    <w:rsid w:val="002F7E0E"/>
    <w:rPr>
      <w:i/>
    </w:rPr>
  </w:style>
  <w:style w:type="paragraph" w:customStyle="1" w:styleId="OrderHeading">
    <w:name w:val="OrderHeading"/>
    <w:basedOn w:val="Titre1"/>
    <w:next w:val="Continue1"/>
    <w:uiPriority w:val="3"/>
    <w:rsid w:val="002F7E0E"/>
    <w:pPr>
      <w:keepNext w:val="0"/>
      <w:pageBreakBefore/>
      <w:spacing w:before="0"/>
    </w:pPr>
  </w:style>
  <w:style w:type="paragraph" w:customStyle="1" w:styleId="ClassOrder">
    <w:name w:val="ClassOrder"/>
    <w:basedOn w:val="Class2"/>
    <w:uiPriority w:val="1"/>
    <w:qFormat/>
    <w:rsid w:val="002F7E0E"/>
    <w:rPr>
      <w:b/>
    </w:rPr>
  </w:style>
  <w:style w:type="paragraph" w:customStyle="1" w:styleId="ContinueOrder">
    <w:name w:val="ContinueOrder"/>
    <w:basedOn w:val="Continue2"/>
    <w:uiPriority w:val="1"/>
    <w:qFormat/>
    <w:rsid w:val="002F7E0E"/>
    <w:rPr>
      <w:b/>
    </w:rPr>
  </w:style>
  <w:style w:type="paragraph" w:styleId="Signature">
    <w:name w:val="Signature"/>
    <w:basedOn w:val="Normal"/>
    <w:link w:val="SignatureCar"/>
    <w:uiPriority w:val="99"/>
    <w:qFormat/>
    <w:rsid w:val="002F7E0E"/>
    <w:pPr>
      <w:ind w:left="425"/>
      <w:jc w:val="both"/>
    </w:pPr>
    <w:rPr>
      <w:szCs w:val="24"/>
    </w:rPr>
  </w:style>
  <w:style w:type="character" w:customStyle="1" w:styleId="SignatureCar">
    <w:name w:val="Signature Car"/>
    <w:basedOn w:val="Policepardfaut"/>
    <w:link w:val="Signature"/>
    <w:uiPriority w:val="99"/>
    <w:locked/>
    <w:rsid w:val="002F7E0E"/>
    <w:rPr>
      <w:kern w:val="2"/>
      <w:sz w:val="24"/>
      <w:szCs w:val="24"/>
      <w:lang w:val="en-GB" w:eastAsia="en-US"/>
      <w14:ligatures w14:val="standardContextual"/>
    </w:rPr>
  </w:style>
  <w:style w:type="character" w:styleId="Lienhypertexte">
    <w:name w:val="Hyperlink"/>
    <w:basedOn w:val="Policepardfaut"/>
    <w:uiPriority w:val="99"/>
    <w:semiHidden/>
    <w:rsid w:val="002F7E0E"/>
    <w:rPr>
      <w:rFonts w:cs="Times New Roman"/>
      <w:color w:val="0000FF"/>
      <w:u w:val="single"/>
    </w:rPr>
  </w:style>
  <w:style w:type="character" w:styleId="Lienhypertextesuivivisit">
    <w:name w:val="FollowedHyperlink"/>
    <w:uiPriority w:val="99"/>
    <w:semiHidden/>
    <w:unhideWhenUsed/>
    <w:rsid w:val="00C37424"/>
    <w:rPr>
      <w:rFonts w:cs="Times New Roman"/>
      <w:color w:val="800080"/>
      <w:u w:val="single"/>
    </w:rPr>
  </w:style>
  <w:style w:type="paragraph" w:customStyle="1" w:styleId="OrderCAPSCENTERED">
    <w:name w:val="OrderCAPS_CENTERED"/>
    <w:basedOn w:val="Normal"/>
    <w:next w:val="Continue1"/>
    <w:link w:val="OrderCAPSCENTEREDChar"/>
    <w:uiPriority w:val="3"/>
    <w:rsid w:val="002F7E0E"/>
    <w:pPr>
      <w:spacing w:before="360" w:after="360"/>
      <w:jc w:val="center"/>
    </w:pPr>
    <w:rPr>
      <w:caps/>
      <w:szCs w:val="24"/>
    </w:rPr>
  </w:style>
  <w:style w:type="paragraph" w:customStyle="1" w:styleId="TableText">
    <w:name w:val="TableText"/>
    <w:basedOn w:val="Normal"/>
    <w:uiPriority w:val="2"/>
    <w:rsid w:val="002F7E0E"/>
    <w:pPr>
      <w:jc w:val="both"/>
    </w:pPr>
    <w:rPr>
      <w:szCs w:val="24"/>
    </w:rPr>
  </w:style>
  <w:style w:type="character" w:customStyle="1" w:styleId="1stNormalChar">
    <w:name w:val="1stNormal Char"/>
    <w:link w:val="1stNormal"/>
    <w:uiPriority w:val="3"/>
    <w:locked/>
    <w:rsid w:val="002F7E0E"/>
    <w:rPr>
      <w:kern w:val="2"/>
      <w:sz w:val="24"/>
      <w:szCs w:val="24"/>
      <w:lang w:val="en-GB" w:eastAsia="en-US"/>
      <w14:ligatures w14:val="standardContextual"/>
    </w:rPr>
  </w:style>
  <w:style w:type="character" w:customStyle="1" w:styleId="1stCAPSCENTEREDChar">
    <w:name w:val="1stCAPS CENTERED Char"/>
    <w:link w:val="1stCAPSCENTERED"/>
    <w:uiPriority w:val="3"/>
    <w:locked/>
    <w:rsid w:val="002F7E0E"/>
    <w:rPr>
      <w:caps/>
      <w:kern w:val="2"/>
      <w:sz w:val="24"/>
      <w:lang w:val="en-GB" w:eastAsia="en-US"/>
      <w14:ligatures w14:val="standardContextual"/>
    </w:rPr>
  </w:style>
  <w:style w:type="character" w:customStyle="1" w:styleId="OrderCAPSCENTEREDChar">
    <w:name w:val="OrderCAPS_CENTERED Char"/>
    <w:link w:val="OrderCAPSCENTERED"/>
    <w:uiPriority w:val="3"/>
    <w:locked/>
    <w:rsid w:val="002F7E0E"/>
    <w:rPr>
      <w:caps/>
      <w:kern w:val="2"/>
      <w:sz w:val="24"/>
      <w:szCs w:val="24"/>
      <w:lang w:val="en-GB" w:eastAsia="en-US"/>
      <w14:ligatures w14:val="standardContextual"/>
    </w:rPr>
  </w:style>
  <w:style w:type="table" w:styleId="Grilledetableauclaire">
    <w:name w:val="Grid Table Light"/>
    <w:basedOn w:val="TableauNormal"/>
    <w:uiPriority w:val="40"/>
    <w:rsid w:val="002F7E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stPageTable">
    <w:name w:val="1stPageTable"/>
    <w:basedOn w:val="TableauNormal"/>
    <w:uiPriority w:val="99"/>
    <w:rsid w:val="002F7E0E"/>
    <w:rPr>
      <w:kern w:val="2"/>
      <w:sz w:val="24"/>
      <w:lang w:val="en-US" w:eastAsia="en-US"/>
    </w:rPr>
    <w:tblPr>
      <w:tblCellMar>
        <w:left w:w="0" w:type="dxa"/>
        <w:right w:w="0" w:type="dxa"/>
      </w:tblCellMar>
    </w:tblPr>
    <w:tcPr>
      <w:shd w:val="clear" w:color="auto" w:fill="auto"/>
      <w:vAlign w:val="bottom"/>
    </w:tcPr>
    <w:tblStylePr w:type="firstRow">
      <w:pPr>
        <w:jc w:val="left"/>
      </w:pPr>
      <w:rPr>
        <w:rFonts w:ascii="Times New Roman" w:hAnsi="Times New Roman"/>
        <w:b/>
        <w:sz w:val="24"/>
      </w:rPr>
    </w:tblStylePr>
    <w:tblStylePr w:type="lastRow">
      <w:tblPr/>
      <w:tcPr>
        <w:tcMar>
          <w:top w:w="0" w:type="nil"/>
          <w:left w:w="0" w:type="nil"/>
          <w:bottom w:w="57" w:type="dxa"/>
          <w:right w:w="0" w:type="nil"/>
        </w:tcMar>
      </w:tcPr>
    </w:tblStylePr>
    <w:tblStylePr w:type="seCell">
      <w:pPr>
        <w:jc w:val="right"/>
      </w:pPr>
      <w:tblPr/>
      <w:tcPr>
        <w:vAlign w:val="bottom"/>
      </w:tcPr>
    </w:tblStylePr>
    <w:tblStylePr w:type="swCell">
      <w:pPr>
        <w:jc w:val="right"/>
      </w:pPr>
      <w:rPr>
        <w:rFonts w:ascii="Times New Roman" w:hAnsi="Times New Roman"/>
        <w:sz w:val="24"/>
      </w:rPr>
      <w:tblPr/>
      <w:tcPr>
        <w:vAlign w:val="bottom"/>
      </w:tcPr>
    </w:tblStylePr>
  </w:style>
  <w:style w:type="paragraph" w:customStyle="1" w:styleId="1stRegistrarProcNumberbiggerSpacing">
    <w:name w:val="1stRegistrarProcNumber_biggerSpacing"/>
    <w:basedOn w:val="Normal"/>
    <w:qFormat/>
    <w:rsid w:val="002F7E0E"/>
    <w:pPr>
      <w:spacing w:before="360" w:after="360"/>
      <w:jc w:val="both"/>
    </w:pPr>
    <w:rPr>
      <w:szCs w:val="24"/>
    </w:rPr>
  </w:style>
  <w:style w:type="paragraph" w:customStyle="1" w:styleId="Continue1Italics">
    <w:name w:val="Continue1Italics"/>
    <w:basedOn w:val="Continue1"/>
    <w:qFormat/>
    <w:rsid w:val="002F7E0E"/>
    <w:rPr>
      <w:i/>
    </w:rPr>
  </w:style>
  <w:style w:type="paragraph" w:customStyle="1" w:styleId="Continue2Italics">
    <w:name w:val="Continue2Italics"/>
    <w:basedOn w:val="Continue2"/>
    <w:qFormat/>
    <w:rsid w:val="002F7E0E"/>
    <w:rPr>
      <w:i/>
    </w:rPr>
  </w:style>
  <w:style w:type="paragraph" w:customStyle="1" w:styleId="Continue3">
    <w:name w:val="Continue3"/>
    <w:basedOn w:val="Continue2"/>
    <w:qFormat/>
    <w:rsid w:val="002F7E0E"/>
    <w:pPr>
      <w:ind w:left="1276"/>
    </w:pPr>
    <w:rPr>
      <w:lang w:val="de-DE"/>
    </w:rPr>
  </w:style>
  <w:style w:type="paragraph" w:customStyle="1" w:styleId="ContinueOrderItalics">
    <w:name w:val="ContinueOrderItalics"/>
    <w:basedOn w:val="ContinueOrder"/>
    <w:rsid w:val="002F7E0E"/>
    <w:rPr>
      <w:i/>
      <w:lang w:val="de-DE"/>
    </w:rPr>
  </w:style>
  <w:style w:type="paragraph" w:customStyle="1" w:styleId="TMs-ListHeading">
    <w:name w:val="TMs-ListHeading"/>
    <w:basedOn w:val="Titre3"/>
    <w:next w:val="TM"/>
    <w:uiPriority w:val="1"/>
    <w:qFormat/>
    <w:rsid w:val="002F7E0E"/>
    <w:pPr>
      <w:numPr>
        <w:numId w:val="6"/>
      </w:numPr>
      <w:spacing w:before="240"/>
    </w:pPr>
  </w:style>
  <w:style w:type="paragraph" w:styleId="Salutations">
    <w:name w:val="Salutation"/>
    <w:basedOn w:val="Normal"/>
    <w:next w:val="Normal"/>
    <w:link w:val="SalutationsCar"/>
    <w:uiPriority w:val="99"/>
    <w:rsid w:val="005A43AC"/>
  </w:style>
  <w:style w:type="character" w:customStyle="1" w:styleId="SalutationsCar">
    <w:name w:val="Salutations Car"/>
    <w:basedOn w:val="Policepardfaut"/>
    <w:link w:val="Salutations"/>
    <w:uiPriority w:val="99"/>
    <w:rsid w:val="005A43AC"/>
    <w:rPr>
      <w:kern w:val="2"/>
      <w:sz w:val="24"/>
      <w:lang w:val="en-GB" w:eastAsia="en-US"/>
      <w14:ligatures w14:val="standardContextual"/>
    </w:rPr>
  </w:style>
  <w:style w:type="character" w:styleId="Mentionnonrsolue">
    <w:name w:val="Unresolved Mention"/>
    <w:basedOn w:val="Policepardfaut"/>
    <w:uiPriority w:val="99"/>
    <w:semiHidden/>
    <w:unhideWhenUsed/>
    <w:rsid w:val="00C67FE1"/>
    <w:rPr>
      <w:color w:val="605E5C"/>
      <w:shd w:val="clear" w:color="auto" w:fill="E1DFDD"/>
    </w:rPr>
  </w:style>
  <w:style w:type="paragraph" w:styleId="Rvision">
    <w:name w:val="Revision"/>
    <w:hidden/>
    <w:uiPriority w:val="99"/>
    <w:semiHidden/>
    <w:rsid w:val="00B00A6E"/>
    <w:rPr>
      <w:kern w:val="2"/>
      <w:sz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p/CBiJ3hVheVP/?igshid=1l8lo5nbyemvt" TargetMode="Externa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p/CByVIYIh9xH/?igshid=1i94sukey2xl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p/_E6NSRtCpV/?igshid=1kynieuto12ec" TargetMode="External"/><Relationship Id="rId20" Type="http://schemas.openxmlformats.org/officeDocument/2006/relationships/hyperlink" Target="https://www.instagram.com/p/CByknsDheCW/?igshid=6wskq4f0f3e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agram.com/p/B31yo73oLZH/?igshid=d6qpfl9bsfer"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p/CBXkLxTBGGs/?igshid=1de9su7cgn4j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CBA1HVpqsl0/?igshid=sx3hlgr4xpf8" TargetMode="External"/><Relationship Id="rId22" Type="http://schemas.openxmlformats.org/officeDocument/2006/relationships/hyperlink" Target="https://www.balmain.com/fr/femme/sacs&#8208;1945"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ubject xmlns="0e656187-b300-4fb0-8bf4-3a50f872073c" xsi:nil="true"/>
    <Document_x0020_Identification_x0020_Number xmlns="0e656187-b300-4fb0-8bf4-3a50f872073c">0154523851</Document_x0020_Identification_x0020_Number>
    <Description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 ma:contentTypeID="0x010100C584C8296B8E4A8FB6881B4EB00963A5" ma:contentTypeName="Boards of Appeal Decision" ma:contentTypeScope="" ma:contentTypeVersion="1" ma:versionID="84a7f6b9a9324c93f7c429fe637c4145">
  <xsd:schema xmlns:xsd="http://www.w3.org/2001/XMLSchema" xmlns:ns2="0e656187-b300-4fb0-8bf4-3a50f872073c" xmlns:p="http://schemas.microsoft.com/office/2006/metadata/properties" ma:fieldsID="d82bb511108d8e269345fc9bd5c1ab5b" ma:root="true" ns2:_="" targetNamespace="http://schemas.microsoft.com/office/2006/metadata/properties">
    <xsd:import namespace="0e656187-b300-4fb0-8bf4-3a50f872073c"/>
    <xsd:element name="properties">
      <xsd:complexType>
        <xsd:sequence>
          <xsd:element name="documentManagement">
            <xsd:complexType>
              <xsd:all>
                <xsd:element minOccurs="0" ref="ns2:Subject"/>
                <xsd:element minOccurs="0" ref="ns2:Document_x0020_Identification_x0020_Number"/>
                <xsd:element minOccurs="0" ref="ns2:Description"/>
              </xsd:all>
            </xsd:complexType>
          </xsd:element>
        </xsd:sequence>
      </xsd:complexType>
    </xsd:element>
  </xsd:schema>
  <xsd:schema xmlns:xsd="http://www.w3.org/2001/XMLSchema" xmlns:dms="http://schemas.microsoft.com/office/2006/documentManagement/types" elementFormDefault="qualified" targetNamespace="0e656187-b300-4fb0-8bf4-3a50f872073c">
    <xsd:import namespace="http://schemas.microsoft.com/office/2006/documentManagement/types"/>
    <xsd:element ma:displayName="Subject" ma:index="8" ma:internalName="Subject" name="Subject" nillable="true">
      <xsd:simpleType>
        <xsd:restriction base="dms:Text">
</xsd:restriction>
      </xsd:simpleType>
    </xsd:element>
    <xsd:element ma:displayName="Document Identification Number" ma:index="9" ma:internalName="Document_x0020_Identification_x0020_Number" ma:readOnly="true" name="Document_x0020_Identification_x0020_Number" nillable="true">
      <xsd:simpleType>
        <xsd:restriction base="dms:Text">
</xsd:restriction>
      </xsd:simpleType>
    </xsd:element>
    <xsd:element ma:displayName="Description" ma:index="10" ma:internalName="Description" name="Description" nillable="true">
      <xsd:simpleType>
        <xsd:restriction base="dms:Note">
</xsd:restriction>
      </xsd:simple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Type" ma:index="0" ma:readOnly="true"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F1CA58F-5DBE-485D-BF3C-C9C861837394}">
  <ds:schemaRefs>
    <ds:schemaRef ds:uri="http://schemas.microsoft.com/sharepoint/v3/contenttype/forms"/>
  </ds:schemaRefs>
</ds:datastoreItem>
</file>

<file path=customXml/itemProps2.xml><?xml version="1.0" encoding="utf-8"?>
<ds:datastoreItem xmlns:ds="http://schemas.openxmlformats.org/officeDocument/2006/customXml" ds:itemID="{F0AA340A-E53E-4751-B56B-08E71A8FD768}">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4981FC58-4962-418D-9C10-C5CA2450941C}">
  <ds:schemaRefs>
    <ds:schemaRef ds:uri="http://schemas.microsoft.com/office/2006/metadata/contentType"/>
    <ds:schemaRef ds:uri="http://schemas.microsoft.com/office/2006/metadata/properties/metaAttributes"/>
    <ds:schemaRef ds:uri="http://www.w3.org/2001/XMLSchema"/>
    <ds:schemaRef ds:uri="0e656187-b300-4fb0-8bf4-3a50f872073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F511CC-BBCE-456B-A3F4-AA483C8532D9}">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4767</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0095-2025-1_BoA Decision.docx</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0095-2025-1_BoA Decision.docx</dc:title>
  <cp:lastModifiedBy>Julie CURTO</cp:lastModifiedBy>
  <cp:revision>1</cp:revision>
  <dcterms:created xsi:type="dcterms:W3CDTF">2025-04-17T10:37:00Z</dcterms:created>
  <dcterms:modified xsi:type="dcterms:W3CDTF">2025-07-03T10:00:00Z</dcterms:modified>
  <cp:category>EUTM_FR</cp:category>
</cp:coreProperties>
</file>